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val="0"/>
        <w:overflowPunct w:val="0"/>
        <w:topLinePunct w:val="0"/>
        <w:autoSpaceDE/>
        <w:autoSpaceDN/>
        <w:bidi w:val="0"/>
        <w:adjustRightInd/>
        <w:snapToGrid/>
        <w:spacing w:before="0" w:after="0" w:line="572" w:lineRule="exact"/>
        <w:textAlignment w:val="auto"/>
        <w:rPr>
          <w:rFonts w:hint="eastAsia" w:ascii="黑体" w:hAnsi="黑体" w:eastAsia="黑体" w:cs="黑体"/>
          <w:b w:val="0"/>
          <w:bCs/>
          <w:sz w:val="32"/>
          <w:szCs w:val="32"/>
          <w:lang w:val="en-US" w:eastAsia="zh-CN"/>
        </w:rPr>
      </w:pPr>
      <w:bookmarkStart w:id="0" w:name="_Toc13158_WPSOffice_Level1"/>
      <w:r>
        <w:rPr>
          <w:rFonts w:hint="eastAsia" w:ascii="黑体" w:hAnsi="黑体" w:eastAsia="黑体" w:cs="黑体"/>
          <w:b w:val="0"/>
          <w:bCs/>
          <w:sz w:val="32"/>
          <w:szCs w:val="32"/>
          <w:lang w:val="en-US" w:eastAsia="zh-CN"/>
        </w:rPr>
        <w:t>附  件</w:t>
      </w:r>
      <w:bookmarkStart w:id="9" w:name="_GoBack"/>
      <w:bookmarkEnd w:id="9"/>
    </w:p>
    <w:p>
      <w:pPr>
        <w:keepNext w:val="0"/>
        <w:keepLines w:val="0"/>
        <w:pageBreakBefore w:val="0"/>
        <w:widowControl w:val="0"/>
        <w:kinsoku/>
        <w:topLinePunct w:val="0"/>
        <w:autoSpaceDE/>
        <w:autoSpaceDN/>
        <w:bidi w:val="0"/>
        <w:adjustRightInd/>
        <w:snapToGrid/>
        <w:spacing w:line="572" w:lineRule="exact"/>
        <w:textAlignment w:val="auto"/>
        <w:rPr>
          <w:rFonts w:hint="eastAsia"/>
        </w:rPr>
      </w:pPr>
    </w:p>
    <w:p>
      <w:pPr>
        <w:pStyle w:val="2"/>
        <w:keepNext w:val="0"/>
        <w:keepLines w:val="0"/>
        <w:pageBreakBefore w:val="0"/>
        <w:widowControl w:val="0"/>
        <w:kinsoku/>
        <w:wordWrap w:val="0"/>
        <w:overflowPunct w:val="0"/>
        <w:topLinePunct w:val="0"/>
        <w:autoSpaceDE/>
        <w:autoSpaceDN/>
        <w:bidi w:val="0"/>
        <w:adjustRightInd/>
        <w:snapToGrid/>
        <w:spacing w:before="0" w:after="0" w:line="572" w:lineRule="exact"/>
        <w:jc w:val="center"/>
        <w:textAlignment w:val="auto"/>
        <w:rPr>
          <w:rFonts w:hint="eastAsia" w:ascii="方正小标宋简体" w:eastAsia="方正小标宋简体" w:cs="方正小标宋简体"/>
          <w:b w:val="0"/>
          <w:bCs/>
        </w:rPr>
      </w:pPr>
      <w:r>
        <w:rPr>
          <w:rFonts w:hint="eastAsia" w:ascii="方正小标宋简体" w:eastAsia="方正小标宋简体" w:cs="方正小标宋简体"/>
          <w:b w:val="0"/>
          <w:bCs/>
        </w:rPr>
        <w:t>贵州省养老服务产业发展基金管理人</w:t>
      </w:r>
    </w:p>
    <w:p>
      <w:pPr>
        <w:pStyle w:val="2"/>
        <w:keepNext w:val="0"/>
        <w:keepLines w:val="0"/>
        <w:pageBreakBefore w:val="0"/>
        <w:widowControl w:val="0"/>
        <w:kinsoku/>
        <w:wordWrap w:val="0"/>
        <w:overflowPunct w:val="0"/>
        <w:topLinePunct w:val="0"/>
        <w:autoSpaceDE/>
        <w:autoSpaceDN/>
        <w:bidi w:val="0"/>
        <w:adjustRightInd/>
        <w:snapToGrid/>
        <w:spacing w:before="0" w:after="0" w:line="572" w:lineRule="exact"/>
        <w:jc w:val="center"/>
        <w:textAlignment w:val="auto"/>
        <w:rPr>
          <w:rFonts w:hint="eastAsia" w:ascii="方正小标宋简体" w:eastAsia="方正小标宋简体" w:cs="方正小标宋简体"/>
          <w:b w:val="0"/>
          <w:bCs/>
        </w:rPr>
      </w:pPr>
      <w:r>
        <w:rPr>
          <w:rFonts w:hint="eastAsia" w:ascii="方正小标宋简体" w:eastAsia="方正小标宋简体" w:cs="方正小标宋简体"/>
          <w:b w:val="0"/>
          <w:bCs/>
        </w:rPr>
        <w:t>公开遴选方案</w:t>
      </w:r>
      <w:bookmarkEnd w:id="0"/>
    </w:p>
    <w:p>
      <w:pPr>
        <w:wordWrap w:val="0"/>
        <w:overflowPunct w:val="0"/>
        <w:spacing w:afterAutospacing="0" w:line="700" w:lineRule="exact"/>
        <w:jc w:val="center"/>
        <w:rPr>
          <w:rFonts w:cs="仿宋_GB2312"/>
          <w:b/>
          <w:sz w:val="32"/>
          <w:szCs w:val="32"/>
        </w:rPr>
      </w:pPr>
    </w:p>
    <w:p>
      <w:pPr>
        <w:spacing w:beforeAutospacing="0" w:afterAutospacing="0"/>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为进一步做好贵州省养老服务产业发展基金（以下统称“养老基金”）管理人公开遴选工作，充分发挥省级政府投资基金引导带动作用和杠杆放大效应</w:t>
      </w:r>
      <w:r>
        <w:rPr>
          <w:rFonts w:hint="eastAsia" w:ascii="Times New Roman" w:hAnsi="Times New Roman" w:eastAsia="仿宋_GB2312" w:cs="Times New Roman"/>
          <w:sz w:val="32"/>
          <w:szCs w:val="32"/>
        </w:rPr>
        <w:t>，按照《财政部关于财政资金注资政府投资基金支持产业发展的指导意见》（财建〔2015〕1062号）《财政部关于印发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政府投资基金暂行管理办法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通知》（财预〔2015〕210号）《国家发展改革委关于印发〈政府出资产业投资基金管理暂行办法〉的通知》（发改财金规〔2016〕2800号）《省人民政府办公厅关于印发〈贵州省促进产业投资基金加快发展的意见〉和〈贵州省产业投资基金管理暂行办法〉的通知》（黔府办发〔2017〕5号）《私募投资基金监督管理条例》</w:t>
      </w:r>
      <w:r>
        <w:rPr>
          <w:rFonts w:ascii="Times New Roman" w:hAnsi="Times New Roman" w:eastAsia="仿宋_GB2312" w:cs="Times New Roman"/>
          <w:sz w:val="32"/>
          <w:szCs w:val="32"/>
        </w:rPr>
        <w:t>等要求，特制定养老基金</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管理人公开遴选方案</w:t>
      </w:r>
      <w:r>
        <w:rPr>
          <w:rFonts w:hint="eastAsia" w:ascii="Times New Roman" w:hAnsi="Times New Roman" w:eastAsia="仿宋_GB2312" w:cs="Times New Roman"/>
          <w:sz w:val="32"/>
          <w:szCs w:val="32"/>
        </w:rPr>
        <w:t>：</w:t>
      </w:r>
      <w:bookmarkStart w:id="1" w:name="_Toc11384_WPSOffice_Level1"/>
    </w:p>
    <w:p>
      <w:pPr>
        <w:wordWrap w:val="0"/>
        <w:overflowPunct w:val="0"/>
        <w:spacing w:beforeAutospacing="0" w:line="580" w:lineRule="exact"/>
        <w:ind w:firstLine="636" w:firstLineChars="199"/>
        <w:rPr>
          <w:rFonts w:hint="eastAsia" w:ascii="黑体" w:eastAsia="黑体" w:cs="Times New Roman"/>
          <w:sz w:val="32"/>
          <w:szCs w:val="32"/>
        </w:rPr>
      </w:pPr>
      <w:r>
        <w:rPr>
          <w:rFonts w:hint="eastAsia" w:ascii="黑体" w:eastAsia="黑体" w:cs="Times New Roman"/>
          <w:sz w:val="32"/>
          <w:szCs w:val="32"/>
        </w:rPr>
        <w:t>一、基本原则</w:t>
      </w:r>
    </w:p>
    <w:p>
      <w:pPr>
        <w:wordWrap w:val="0"/>
        <w:overflowPunct w:val="0"/>
        <w:spacing w:line="580" w:lineRule="exact"/>
        <w:ind w:firstLine="636" w:firstLineChars="199"/>
        <w:rPr>
          <w:rFonts w:ascii="Times New Roman" w:hAnsi="Times New Roman" w:eastAsia="仿宋_GB2312" w:cs="Times New Roman"/>
          <w:sz w:val="32"/>
          <w:szCs w:val="32"/>
        </w:rPr>
      </w:pPr>
      <w:r>
        <w:rPr>
          <w:rFonts w:hint="eastAsia" w:ascii="楷体_GB2312" w:eastAsia="楷体_GB2312" w:cs="Times New Roman"/>
          <w:bCs/>
          <w:sz w:val="32"/>
          <w:szCs w:val="32"/>
        </w:rPr>
        <w:t>（一）依法依规</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养老基金管理人公开遴选应符合</w:t>
      </w:r>
      <w:r>
        <w:rPr>
          <w:rFonts w:hint="eastAsia" w:ascii="Times New Roman" w:hAnsi="Times New Roman" w:eastAsia="仿宋_GB2312" w:cs="Times New Roman"/>
          <w:sz w:val="32"/>
          <w:szCs w:val="32"/>
        </w:rPr>
        <w:t>《财政部关于财政资金注资政府投资基金支持产业发展的指导意见》（财建〔2015〕1062号）《财政部关于印发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政府投资基金暂行管理办法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的通知》（财预〔2015〕210号）《国家发展改革委关于印发〈政府出资产业投资基金管理暂行办法〉的通知》（发改财金规〔2016〕2800号）《省人民政府办公厅关于印发〈贵州省促进产业投资基金加快发展的意见〉和〈贵州省产业投资基金管理暂行办法〉的通知》（黔府办发〔2017〕5号）《私募投资基金监督管理条例》</w:t>
      </w:r>
      <w:r>
        <w:rPr>
          <w:rFonts w:ascii="Times New Roman" w:hAnsi="Times New Roman" w:eastAsia="仿宋_GB2312" w:cs="Times New Roman"/>
          <w:sz w:val="32"/>
          <w:szCs w:val="32"/>
        </w:rPr>
        <w:t>等有关规定和要求。</w:t>
      </w:r>
    </w:p>
    <w:p>
      <w:pPr>
        <w:wordWrap w:val="0"/>
        <w:overflowPunct w:val="0"/>
        <w:spacing w:line="580" w:lineRule="exact"/>
        <w:ind w:firstLine="636" w:firstLineChars="199"/>
        <w:rPr>
          <w:rFonts w:ascii="Times New Roman" w:hAnsi="Times New Roman" w:eastAsia="仿宋_GB2312" w:cs="Times New Roman"/>
          <w:sz w:val="32"/>
          <w:szCs w:val="32"/>
        </w:rPr>
      </w:pPr>
      <w:r>
        <w:rPr>
          <w:rFonts w:hint="eastAsia" w:ascii="楷体_GB2312" w:eastAsia="楷体_GB2312" w:cs="Times New Roman"/>
          <w:bCs/>
          <w:sz w:val="32"/>
          <w:szCs w:val="32"/>
        </w:rPr>
        <w:t>（二）公正公平。</w:t>
      </w:r>
      <w:r>
        <w:rPr>
          <w:rFonts w:ascii="Times New Roman" w:hAnsi="Times New Roman" w:eastAsia="仿宋_GB2312" w:cs="Times New Roman"/>
          <w:sz w:val="32"/>
          <w:szCs w:val="32"/>
        </w:rPr>
        <w:t>符合申请资格的管理人均可递交资料参与遴选。</w:t>
      </w:r>
    </w:p>
    <w:p>
      <w:pPr>
        <w:wordWrap w:val="0"/>
        <w:overflowPunct w:val="0"/>
        <w:spacing w:line="580" w:lineRule="exact"/>
        <w:ind w:firstLine="636" w:firstLineChars="199"/>
        <w:rPr>
          <w:rFonts w:hint="eastAsia" w:ascii="黑体" w:eastAsia="黑体" w:cs="Times New Roman"/>
          <w:sz w:val="32"/>
          <w:szCs w:val="32"/>
        </w:rPr>
      </w:pPr>
      <w:r>
        <w:rPr>
          <w:rFonts w:hint="eastAsia" w:ascii="黑体" w:eastAsia="黑体" w:cs="Times New Roman"/>
          <w:bCs/>
          <w:sz w:val="32"/>
          <w:szCs w:val="32"/>
        </w:rPr>
        <w:t>二、</w:t>
      </w:r>
      <w:bookmarkEnd w:id="1"/>
      <w:r>
        <w:rPr>
          <w:rFonts w:hint="eastAsia" w:ascii="黑体" w:eastAsia="黑体" w:cs="Times New Roman"/>
          <w:sz w:val="32"/>
          <w:szCs w:val="32"/>
        </w:rPr>
        <w:t>基金管理人申报条件</w:t>
      </w:r>
      <w:bookmarkStart w:id="2" w:name="_Toc27632_WPSOffice_Level1"/>
    </w:p>
    <w:p>
      <w:pPr>
        <w:wordWrap w:val="0"/>
        <w:overflowPunct w:val="0"/>
        <w:spacing w:line="58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1.管理机构。</w:t>
      </w:r>
    </w:p>
    <w:p>
      <w:pPr>
        <w:wordWrap w:val="0"/>
        <w:overflowPunct w:val="0"/>
        <w:spacing w:line="58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金管理人应为中国大陆依法设立的公司或合伙企业，并且取得中国证券投资基金业协会私募基金管理人资质；原则上在贵州省内设有总部或办事机构；具有良好的信用记录；财务状况良好，注册资本不少于1000万元，且实缴资本不低于1000万元；无司法机关和行业行政主管机关处罚等不良记录，并符合其他法律法规规定的相关要求；</w:t>
      </w:r>
    </w:p>
    <w:p>
      <w:pPr>
        <w:wordWrap w:val="0"/>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2.管理团队。</w:t>
      </w:r>
    </w:p>
    <w:p>
      <w:pPr>
        <w:wordWrap w:val="0"/>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申报机构的团队应同时满足以下条件：</w:t>
      </w:r>
    </w:p>
    <w:p>
      <w:pPr>
        <w:pStyle w:val="13"/>
        <w:ind w:left="0" w:leftChars="0" w:firstLine="640" w:firstLineChars="200"/>
        <w:rPr>
          <w:rFonts w:hint="eastAsia" w:hAnsi="仿宋_GB2312" w:cs="仿宋_GB2312"/>
          <w:szCs w:val="32"/>
        </w:rPr>
      </w:pPr>
      <w:r>
        <w:rPr>
          <w:rFonts w:hint="eastAsia" w:hAnsi="仿宋_GB2312" w:cs="仿宋_GB2312"/>
          <w:szCs w:val="32"/>
        </w:rPr>
        <w:t>（1）原则上至少有3名具备股权投资或者相关业务经验的专职高级管理人员常驻贵州；</w:t>
      </w:r>
    </w:p>
    <w:p>
      <w:pPr>
        <w:wordWrap w:val="0"/>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熟悉基金所投领域相关产业情况，能够为所投资企业提供管理咨询等增值服务，有政府投资基金管理经验的优先；</w:t>
      </w:r>
    </w:p>
    <w:p>
      <w:pPr>
        <w:wordWrap w:val="0"/>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）拥有具备项目投资、企业管理和资本运营经验的专业人员，其中至少有3名具备5年以上股权投资或者相关业务经验的专职高级管理人员，且高级管理人员具有大学本科以上学历；</w:t>
      </w:r>
    </w:p>
    <w:p>
      <w:pPr>
        <w:pStyle w:val="13"/>
        <w:ind w:left="0" w:leftChars="0"/>
      </w:pPr>
      <w:r>
        <w:rPr>
          <w:rFonts w:hint="eastAsia"/>
        </w:rPr>
        <w:t xml:space="preserve">    3.投资能力</w:t>
      </w:r>
    </w:p>
    <w:p>
      <w:pPr>
        <w:wordWrap w:val="0"/>
        <w:overflowPunct w:val="0"/>
        <w:spacing w:line="580" w:lineRule="exact"/>
        <w:ind w:firstLine="636" w:firstLineChars="199"/>
      </w:pPr>
      <w:r>
        <w:rPr>
          <w:rFonts w:hint="eastAsia" w:ascii="仿宋_GB2312" w:hAnsi="仿宋_GB2312" w:eastAsia="仿宋_GB2312" w:cs="仿宋_GB2312"/>
          <w:sz w:val="32"/>
          <w:szCs w:val="32"/>
        </w:rPr>
        <w:t>管理团队具有良好的职业操守和既往投资业绩；至少有【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】个成功上市或成功退出的案例；</w:t>
      </w:r>
    </w:p>
    <w:p>
      <w:pPr>
        <w:wordWrap w:val="0"/>
        <w:overflowPunct w:val="0"/>
        <w:spacing w:line="580" w:lineRule="exact"/>
        <w:ind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4.风险控制</w:t>
      </w:r>
    </w:p>
    <w:p>
      <w:pPr>
        <w:wordWrap w:val="0"/>
        <w:overflowPunct w:val="0"/>
        <w:spacing w:line="58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内部治理结构健全、管理和投资运作规范；内部稽核监控制度、风控合规制度和利益冲突防范机制等完善及具有完整的投资决策程序、健全的财务管理制度。</w:t>
      </w:r>
    </w:p>
    <w:p>
      <w:pPr>
        <w:pStyle w:val="14"/>
        <w:wordWrap w:val="0"/>
        <w:overflowPunct w:val="0"/>
        <w:spacing w:line="580" w:lineRule="exact"/>
        <w:ind w:firstLine="640"/>
        <w:outlineLvl w:val="0"/>
        <w:rPr>
          <w:rFonts w:hint="eastAsia" w:ascii="黑体" w:eastAsia="黑体"/>
          <w:bCs/>
          <w:szCs w:val="32"/>
        </w:rPr>
      </w:pPr>
      <w:r>
        <w:rPr>
          <w:rFonts w:hint="eastAsia" w:ascii="黑体" w:eastAsia="黑体"/>
          <w:bCs/>
          <w:szCs w:val="32"/>
        </w:rPr>
        <w:t>三、基金管理人申报材料</w:t>
      </w:r>
      <w:bookmarkEnd w:id="2"/>
      <w:bookmarkStart w:id="3" w:name="_Toc27583_WPSOffice_Level1"/>
    </w:p>
    <w:p>
      <w:pPr>
        <w:pStyle w:val="14"/>
        <w:wordWrap w:val="0"/>
        <w:overflowPunct w:val="0"/>
        <w:spacing w:line="580" w:lineRule="exact"/>
        <w:ind w:firstLine="640"/>
        <w:outlineLvl w:val="0"/>
        <w:rPr>
          <w:rFonts w:ascii="Times New Roman" w:hAnsi="Times New Roman"/>
          <w:bCs/>
          <w:szCs w:val="32"/>
        </w:rPr>
      </w:pPr>
      <w:r>
        <w:rPr>
          <w:rFonts w:ascii="Times New Roman" w:hAnsi="Times New Roman"/>
          <w:bCs/>
          <w:szCs w:val="32"/>
        </w:rPr>
        <w:t>申报材料包括但不限于以下材料（纸质版</w:t>
      </w:r>
      <w:r>
        <w:rPr>
          <w:rFonts w:hint="eastAsia" w:ascii="Times New Roman" w:hAnsi="Times New Roman"/>
          <w:bCs/>
          <w:szCs w:val="32"/>
        </w:rPr>
        <w:t>三</w:t>
      </w:r>
      <w:r>
        <w:rPr>
          <w:rFonts w:ascii="Times New Roman" w:hAnsi="Times New Roman"/>
          <w:bCs/>
          <w:szCs w:val="32"/>
        </w:rPr>
        <w:t>套</w:t>
      </w:r>
      <w:r>
        <w:rPr>
          <w:rFonts w:hint="eastAsia" w:ascii="Times New Roman" w:hAnsi="Times New Roman"/>
          <w:bCs/>
          <w:szCs w:val="32"/>
        </w:rPr>
        <w:t>，并</w:t>
      </w:r>
      <w:r>
        <w:rPr>
          <w:rFonts w:ascii="Times New Roman" w:hAnsi="Times New Roman"/>
          <w:bCs/>
          <w:szCs w:val="32"/>
        </w:rPr>
        <w:t>提供电子版），并按照顺序编排目录和页码装订成册，加盖相关单位印章。</w:t>
      </w:r>
    </w:p>
    <w:p>
      <w:pPr>
        <w:pStyle w:val="14"/>
        <w:wordWrap w:val="0"/>
        <w:overflowPunct w:val="0"/>
        <w:spacing w:line="580" w:lineRule="exact"/>
        <w:ind w:firstLine="640"/>
        <w:outlineLvl w:val="0"/>
        <w:rPr>
          <w:rFonts w:ascii="Times New Roman" w:hAnsi="Times New Roman"/>
          <w:bCs/>
          <w:szCs w:val="32"/>
        </w:rPr>
      </w:pPr>
      <w:r>
        <w:rPr>
          <w:rFonts w:hint="eastAsia" w:ascii="Times New Roman" w:hAnsi="Times New Roman"/>
          <w:bCs/>
          <w:szCs w:val="32"/>
        </w:rPr>
        <w:t>（一）申报人资格文件。</w:t>
      </w:r>
      <w:r>
        <w:rPr>
          <w:rFonts w:ascii="Times New Roman" w:hAnsi="Times New Roman"/>
          <w:bCs/>
          <w:szCs w:val="32"/>
        </w:rPr>
        <w:t>行业主管部门颁发的相关资质证书、管理基金总规模不低于</w:t>
      </w:r>
      <w:r>
        <w:rPr>
          <w:rFonts w:hint="eastAsia" w:ascii="Times New Roman" w:hAnsi="Times New Roman"/>
          <w:bCs/>
          <w:szCs w:val="32"/>
        </w:rPr>
        <w:t>【</w:t>
      </w:r>
      <w:r>
        <w:rPr>
          <w:rFonts w:hint="eastAsia" w:ascii="Times New Roman" w:hAnsi="Times New Roman"/>
          <w:bCs/>
          <w:szCs w:val="32"/>
          <w:lang w:val="en-US" w:eastAsia="zh-CN"/>
        </w:rPr>
        <w:t>10</w:t>
      </w:r>
      <w:r>
        <w:rPr>
          <w:rFonts w:hint="eastAsia" w:ascii="Times New Roman" w:hAnsi="Times New Roman"/>
          <w:bCs/>
          <w:szCs w:val="32"/>
        </w:rPr>
        <w:t>】</w:t>
      </w:r>
      <w:r>
        <w:rPr>
          <w:rFonts w:ascii="Times New Roman" w:hAnsi="Times New Roman"/>
          <w:bCs/>
          <w:szCs w:val="32"/>
        </w:rPr>
        <w:t>亿元的基金产品的相关证明、核心管理团队不少于</w:t>
      </w:r>
      <w:r>
        <w:rPr>
          <w:rFonts w:hint="eastAsia" w:ascii="Times New Roman" w:hAnsi="Times New Roman"/>
          <w:bCs/>
          <w:szCs w:val="32"/>
        </w:rPr>
        <w:t>3</w:t>
      </w:r>
      <w:r>
        <w:rPr>
          <w:rFonts w:ascii="Times New Roman" w:hAnsi="Times New Roman"/>
          <w:bCs/>
          <w:szCs w:val="32"/>
        </w:rPr>
        <w:t>名具备</w:t>
      </w:r>
      <w:r>
        <w:rPr>
          <w:rFonts w:hint="eastAsia" w:ascii="Times New Roman" w:hAnsi="Times New Roman"/>
          <w:bCs/>
          <w:szCs w:val="32"/>
        </w:rPr>
        <w:t>5</w:t>
      </w:r>
      <w:r>
        <w:rPr>
          <w:rFonts w:ascii="Times New Roman" w:hAnsi="Times New Roman"/>
          <w:bCs/>
          <w:szCs w:val="32"/>
        </w:rPr>
        <w:t>年以上资产管理工作经验的专职高级管理人员简历、社保记录</w:t>
      </w:r>
      <w:r>
        <w:rPr>
          <w:rFonts w:hint="eastAsia" w:ascii="Times New Roman" w:hAnsi="Times New Roman"/>
          <w:bCs/>
          <w:szCs w:val="32"/>
          <w:lang w:val="en-US" w:eastAsia="zh-CN"/>
        </w:rPr>
        <w:t>或医保缴纳证明</w:t>
      </w:r>
      <w:r>
        <w:rPr>
          <w:rFonts w:ascii="Times New Roman" w:hAnsi="Times New Roman"/>
          <w:bCs/>
          <w:szCs w:val="32"/>
        </w:rPr>
        <w:t>、</w:t>
      </w:r>
      <w:r>
        <w:rPr>
          <w:rFonts w:hint="eastAsia" w:ascii="Times New Roman" w:hAnsi="Times New Roman"/>
          <w:bCs/>
          <w:szCs w:val="32"/>
          <w:lang w:val="en-US" w:eastAsia="zh-CN"/>
        </w:rPr>
        <w:t>申报人</w:t>
      </w:r>
      <w:r>
        <w:rPr>
          <w:rFonts w:ascii="Times New Roman" w:hAnsi="Times New Roman"/>
          <w:bCs/>
          <w:szCs w:val="32"/>
        </w:rPr>
        <w:t>无司法机关和行业行政主管机关处罚等不良记录的信用承诺函。</w:t>
      </w:r>
    </w:p>
    <w:p>
      <w:pPr>
        <w:pStyle w:val="14"/>
        <w:wordWrap w:val="0"/>
        <w:overflowPunct w:val="0"/>
        <w:spacing w:line="580" w:lineRule="exact"/>
        <w:ind w:firstLine="640"/>
        <w:rPr>
          <w:rFonts w:hint="eastAsia" w:ascii="Times New Roman" w:hAnsi="Times New Roman"/>
          <w:bCs/>
          <w:szCs w:val="32"/>
        </w:rPr>
      </w:pPr>
      <w:r>
        <w:rPr>
          <w:rFonts w:hint="eastAsia" w:ascii="Times New Roman" w:hAnsi="Times New Roman"/>
          <w:bCs/>
          <w:szCs w:val="32"/>
        </w:rPr>
        <w:t>（</w:t>
      </w:r>
      <w:r>
        <w:rPr>
          <w:rFonts w:hint="eastAsia" w:ascii="Times New Roman" w:hAnsi="Times New Roman"/>
          <w:bCs/>
          <w:szCs w:val="32"/>
          <w:lang w:val="en-US" w:eastAsia="zh-CN"/>
        </w:rPr>
        <w:t>二</w:t>
      </w:r>
      <w:r>
        <w:rPr>
          <w:rFonts w:hint="eastAsia" w:ascii="Times New Roman" w:hAnsi="Times New Roman"/>
          <w:bCs/>
          <w:szCs w:val="32"/>
        </w:rPr>
        <w:t>）贵州省养老服务产业发展基金管理人申请书（附件1）。</w:t>
      </w:r>
    </w:p>
    <w:p>
      <w:pPr>
        <w:pStyle w:val="14"/>
        <w:wordWrap w:val="0"/>
        <w:overflowPunct w:val="0"/>
        <w:spacing w:line="580" w:lineRule="exact"/>
        <w:ind w:firstLine="640"/>
        <w:rPr>
          <w:rFonts w:ascii="Times New Roman" w:hAnsi="Times New Roman"/>
          <w:bCs/>
          <w:szCs w:val="32"/>
        </w:rPr>
      </w:pPr>
      <w:r>
        <w:rPr>
          <w:rFonts w:ascii="Times New Roman" w:hAnsi="Times New Roman"/>
          <w:bCs/>
          <w:szCs w:val="32"/>
        </w:rPr>
        <w:t>（</w:t>
      </w:r>
      <w:r>
        <w:rPr>
          <w:rFonts w:hint="eastAsia" w:ascii="Times New Roman" w:hAnsi="Times New Roman"/>
          <w:bCs/>
          <w:szCs w:val="32"/>
          <w:lang w:val="en-US" w:eastAsia="zh-CN"/>
        </w:rPr>
        <w:t>三</w:t>
      </w:r>
      <w:r>
        <w:rPr>
          <w:rFonts w:ascii="Times New Roman" w:hAnsi="Times New Roman"/>
          <w:bCs/>
          <w:szCs w:val="32"/>
        </w:rPr>
        <w:t>）《申</w:t>
      </w:r>
      <w:r>
        <w:rPr>
          <w:rFonts w:hint="eastAsia" w:ascii="Times New Roman" w:hAnsi="Times New Roman"/>
          <w:bCs/>
          <w:szCs w:val="32"/>
        </w:rPr>
        <w:t>报</w:t>
      </w:r>
      <w:r>
        <w:rPr>
          <w:rFonts w:ascii="Times New Roman" w:hAnsi="Times New Roman"/>
          <w:bCs/>
          <w:szCs w:val="32"/>
        </w:rPr>
        <w:t>人真实性承诺函》（附件</w:t>
      </w:r>
      <w:r>
        <w:rPr>
          <w:rFonts w:hint="eastAsia" w:ascii="Times New Roman" w:hAnsi="Times New Roman"/>
          <w:bCs/>
          <w:szCs w:val="32"/>
        </w:rPr>
        <w:t>2</w:t>
      </w:r>
      <w:r>
        <w:rPr>
          <w:rFonts w:ascii="Times New Roman" w:hAnsi="Times New Roman"/>
          <w:bCs/>
          <w:szCs w:val="32"/>
        </w:rPr>
        <w:t>）。</w:t>
      </w:r>
    </w:p>
    <w:p>
      <w:pPr>
        <w:pStyle w:val="14"/>
        <w:wordWrap w:val="0"/>
        <w:overflowPunct w:val="0"/>
        <w:spacing w:line="580" w:lineRule="exact"/>
        <w:ind w:firstLine="640"/>
        <w:rPr>
          <w:rFonts w:ascii="Times New Roman" w:hAnsi="Times New Roman"/>
          <w:bCs/>
          <w:szCs w:val="32"/>
        </w:rPr>
      </w:pPr>
      <w:r>
        <w:rPr>
          <w:rFonts w:ascii="Times New Roman" w:hAnsi="Times New Roman"/>
          <w:bCs/>
          <w:szCs w:val="32"/>
        </w:rPr>
        <w:t>（</w:t>
      </w:r>
      <w:r>
        <w:rPr>
          <w:rFonts w:hint="eastAsia" w:ascii="Times New Roman" w:hAnsi="Times New Roman"/>
          <w:bCs/>
          <w:szCs w:val="32"/>
          <w:lang w:val="en-US" w:eastAsia="zh-CN"/>
        </w:rPr>
        <w:t>四</w:t>
      </w:r>
      <w:r>
        <w:rPr>
          <w:rFonts w:ascii="Times New Roman" w:hAnsi="Times New Roman"/>
          <w:bCs/>
          <w:szCs w:val="32"/>
        </w:rPr>
        <w:t>）需提供相关材料的清单（附件</w:t>
      </w:r>
      <w:r>
        <w:rPr>
          <w:rFonts w:hint="eastAsia" w:ascii="Times New Roman" w:hAnsi="Times New Roman"/>
          <w:bCs/>
          <w:szCs w:val="32"/>
        </w:rPr>
        <w:t>3</w:t>
      </w:r>
      <w:r>
        <w:rPr>
          <w:rFonts w:ascii="Times New Roman" w:hAnsi="Times New Roman"/>
          <w:bCs/>
          <w:szCs w:val="32"/>
        </w:rPr>
        <w:t>）。</w:t>
      </w:r>
    </w:p>
    <w:p>
      <w:pPr>
        <w:pStyle w:val="14"/>
        <w:wordWrap w:val="0"/>
        <w:overflowPunct w:val="0"/>
        <w:spacing w:line="580" w:lineRule="exact"/>
        <w:ind w:firstLine="640"/>
        <w:rPr>
          <w:rFonts w:hint="eastAsia" w:ascii="黑体" w:eastAsia="黑体"/>
          <w:bCs/>
          <w:szCs w:val="32"/>
        </w:rPr>
      </w:pPr>
      <w:r>
        <w:rPr>
          <w:rFonts w:hint="eastAsia" w:ascii="黑体" w:eastAsia="黑体"/>
          <w:bCs/>
          <w:szCs w:val="32"/>
        </w:rPr>
        <w:t>四、评分标准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eastAsia="仿宋_GB2312"/>
          <w:bCs/>
          <w:szCs w:val="32"/>
          <w:lang w:eastAsia="zh-CN"/>
        </w:rPr>
      </w:pPr>
      <w:r>
        <w:rPr>
          <w:rFonts w:hint="eastAsia" w:ascii="仿宋_GB2312" w:hAnsi="仿宋_GB2312" w:eastAsia="仿宋_GB2312" w:cs="仿宋_GB2312"/>
          <w:sz w:val="32"/>
          <w:szCs w:val="32"/>
        </w:rPr>
        <w:t>本次遴选根据申报人报价及合理性、报价及合理性、管理团队主要负责人及核心成员政府引导基金管理经验、管理团队主要负责人及核心成员累计管理的政府引导基金规模及运营管理情况、养老服务产业领域投资经验等进行评分，具体详见《遴选指标评分表》</w:t>
      </w:r>
      <w:r>
        <w:rPr>
          <w:rFonts w:hint="eastAsia" w:ascii="仿宋_GB2312" w:hAnsi="仿宋_GB2312" w:eastAsia="仿宋_GB2312" w:cs="仿宋_GB2312"/>
          <w:sz w:val="32"/>
          <w:szCs w:val="32"/>
          <w:lang w:eastAsia="zh-CN"/>
        </w:rPr>
        <w:t>。</w:t>
      </w:r>
    </w:p>
    <w:p>
      <w:pPr>
        <w:pStyle w:val="14"/>
        <w:wordWrap w:val="0"/>
        <w:overflowPunct w:val="0"/>
        <w:spacing w:line="580" w:lineRule="exact"/>
        <w:ind w:firstLine="640"/>
        <w:rPr>
          <w:rFonts w:ascii="Times New Roman" w:hAnsi="Times New Roman" w:eastAsia="黑体"/>
          <w:bCs/>
          <w:szCs w:val="32"/>
        </w:rPr>
      </w:pPr>
      <w:r>
        <w:rPr>
          <w:rFonts w:hint="eastAsia" w:ascii="黑体" w:eastAsia="黑体"/>
          <w:bCs/>
          <w:szCs w:val="32"/>
        </w:rPr>
        <w:t>五、工作程序</w:t>
      </w:r>
    </w:p>
    <w:p>
      <w:pPr>
        <w:spacing w:line="560" w:lineRule="exact"/>
        <w:ind w:firstLine="640" w:firstLineChars="200"/>
        <w:rPr>
          <w:rFonts w:hAnsi="仿宋_GB2312" w:cs="仿宋_GB2312"/>
          <w:color w:val="000000"/>
          <w:szCs w:val="32"/>
          <w:shd w:val="clear" w:color="auto" w:fill="FFFFFF"/>
        </w:rPr>
      </w:pPr>
      <w:r>
        <w:rPr>
          <w:rFonts w:hint="eastAsia" w:ascii="楷体_GB2312" w:hAnsi="楷体_GB2312" w:eastAsia="楷体_GB2312" w:cs="楷体_GB2312"/>
          <w:color w:val="000000"/>
          <w:sz w:val="32"/>
          <w:szCs w:val="32"/>
          <w:shd w:val="clear" w:color="auto" w:fill="FFFFFF"/>
          <w:lang w:bidi="ar"/>
        </w:rPr>
        <w:t>（一）公开征集。</w:t>
      </w:r>
      <w:r>
        <w:rPr>
          <w:rFonts w:hint="eastAsia" w:ascii="仿宋_GB2312" w:hAnsi="仿宋_GB2312" w:eastAsia="仿宋_GB2312" w:cs="仿宋_GB2312"/>
          <w:color w:val="000000"/>
          <w:sz w:val="32"/>
          <w:szCs w:val="32"/>
          <w:shd w:val="clear" w:color="auto" w:fill="FFFFFF"/>
          <w:lang w:bidi="ar"/>
        </w:rPr>
        <w:t>通过省民政厅政府网站发布遴选公告，符合条件的管理人可按照规定标准和程序申报。</w:t>
      </w:r>
    </w:p>
    <w:p>
      <w:pPr>
        <w:spacing w:line="560" w:lineRule="exact"/>
        <w:ind w:firstLine="640" w:firstLineChars="200"/>
        <w:rPr>
          <w:rFonts w:hAnsi="仿宋_GB2312" w:cs="仿宋_GB2312"/>
          <w:color w:val="000000"/>
          <w:szCs w:val="32"/>
          <w:shd w:val="clear" w:color="auto" w:fill="FFFFFF"/>
        </w:rPr>
      </w:pPr>
      <w:r>
        <w:rPr>
          <w:rFonts w:hint="eastAsia" w:ascii="楷体_GB2312" w:hAnsi="楷体_GB2312" w:eastAsia="楷体_GB2312" w:cs="楷体_GB2312"/>
          <w:color w:val="000000"/>
          <w:sz w:val="32"/>
          <w:szCs w:val="32"/>
          <w:shd w:val="clear" w:color="auto" w:fill="FFFFFF"/>
          <w:lang w:bidi="ar"/>
        </w:rPr>
        <w:t>（二）申报资格审查。</w:t>
      </w:r>
      <w:r>
        <w:rPr>
          <w:rFonts w:hint="eastAsia" w:ascii="仿宋_GB2312" w:hAnsi="仿宋_GB2312" w:eastAsia="仿宋_GB2312" w:cs="仿宋_GB2312"/>
          <w:color w:val="000000"/>
          <w:sz w:val="32"/>
          <w:szCs w:val="32"/>
          <w:shd w:val="clear" w:color="auto" w:fill="FFFFFF"/>
          <w:lang w:bidi="ar"/>
        </w:rPr>
        <w:t>省民政厅对申报的材料，从材料完整性、内容全面性等方面进行初步审核，排除不符合申报条件的申报人。</w:t>
      </w:r>
    </w:p>
    <w:p>
      <w:pPr>
        <w:spacing w:line="560" w:lineRule="exact"/>
        <w:ind w:firstLine="640" w:firstLineChars="200"/>
      </w:pPr>
      <w:r>
        <w:rPr>
          <w:rFonts w:hint="eastAsia" w:ascii="楷体_GB2312" w:hAnsi="楷体_GB2312" w:eastAsia="楷体_GB2312" w:cs="楷体_GB2312"/>
          <w:color w:val="000000"/>
          <w:sz w:val="32"/>
          <w:szCs w:val="32"/>
          <w:shd w:val="clear" w:color="auto" w:fill="FFFFFF"/>
          <w:lang w:bidi="ar"/>
        </w:rPr>
        <w:t>（三）管理人评审。</w:t>
      </w:r>
      <w:r>
        <w:rPr>
          <w:rFonts w:hint="eastAsia" w:ascii="仿宋_GB2312" w:hAnsi="仿宋_GB2312" w:eastAsia="仿宋_GB2312" w:cs="仿宋_GB2312"/>
          <w:color w:val="000000"/>
          <w:sz w:val="32"/>
          <w:szCs w:val="32"/>
          <w:shd w:val="clear" w:color="auto" w:fill="FFFFFF"/>
          <w:lang w:bidi="ar"/>
        </w:rPr>
        <w:t>由</w:t>
      </w:r>
      <w:r>
        <w:rPr>
          <w:rFonts w:hint="eastAsia" w:ascii="仿宋_GB2312" w:hAnsi="仿宋_GB2312" w:eastAsia="仿宋_GB2312" w:cs="仿宋_GB2312"/>
          <w:sz w:val="32"/>
          <w:szCs w:val="32"/>
          <w:lang w:bidi="ar"/>
        </w:rPr>
        <w:t>省民政厅</w:t>
      </w:r>
      <w:r>
        <w:rPr>
          <w:rFonts w:hint="eastAsia" w:ascii="仿宋_GB2312" w:hAnsi="仿宋_GB2312" w:eastAsia="仿宋_GB2312" w:cs="仿宋_GB2312"/>
          <w:color w:val="000000"/>
          <w:sz w:val="32"/>
          <w:szCs w:val="32"/>
          <w:shd w:val="clear" w:color="auto" w:fill="FFFFFF"/>
          <w:lang w:bidi="ar"/>
        </w:rPr>
        <w:t>对初审通过的申报人进行评审打分，根据评审结果确定中选申报人。</w:t>
      </w:r>
    </w:p>
    <w:p>
      <w:pPr>
        <w:spacing w:line="560" w:lineRule="exact"/>
        <w:ind w:firstLine="640" w:firstLineChars="200"/>
        <w:rPr>
          <w:rFonts w:hint="eastAsia" w:ascii="仿宋_GB2312" w:hAnsi="仿宋_GB2312" w:eastAsia="仿宋_GB2312" w:cs="仿宋_GB2312"/>
          <w:color w:val="000000"/>
          <w:sz w:val="32"/>
          <w:szCs w:val="32"/>
          <w:shd w:val="clear" w:color="auto" w:fill="FFFFFF"/>
          <w:lang w:bidi="ar"/>
        </w:rPr>
      </w:pPr>
      <w:r>
        <w:rPr>
          <w:rFonts w:hint="eastAsia" w:ascii="楷体_GB2312" w:hAnsi="楷体_GB2312" w:eastAsia="楷体_GB2312" w:cs="楷体_GB2312"/>
          <w:color w:val="000000"/>
          <w:sz w:val="32"/>
          <w:szCs w:val="32"/>
          <w:shd w:val="clear" w:color="auto" w:fill="FFFFFF"/>
          <w:lang w:bidi="ar"/>
        </w:rPr>
        <w:t>（四）结果公示。</w:t>
      </w:r>
      <w:r>
        <w:rPr>
          <w:rFonts w:hint="eastAsia" w:ascii="Times New Roman" w:hAnsi="Times New Roman" w:eastAsia="仿宋_GB2312" w:cs="Times New Roman"/>
          <w:color w:val="000000"/>
          <w:sz w:val="32"/>
          <w:szCs w:val="32"/>
          <w:shd w:val="clear" w:color="auto" w:fill="FFFFFF"/>
          <w:lang w:bidi="ar"/>
        </w:rPr>
        <w:t>评审结果通过原申报渠道进行公示</w:t>
      </w:r>
      <w:r>
        <w:rPr>
          <w:rFonts w:hint="eastAsia" w:ascii="仿宋_GB2312" w:hAnsi="仿宋_GB2312" w:eastAsia="仿宋_GB2312" w:cs="仿宋_GB2312"/>
          <w:color w:val="000000"/>
          <w:sz w:val="32"/>
          <w:szCs w:val="32"/>
          <w:shd w:val="clear" w:color="auto" w:fill="FFFFFF"/>
          <w:lang w:bidi="ar"/>
        </w:rPr>
        <w:t>。</w:t>
      </w:r>
    </w:p>
    <w:p>
      <w:pPr>
        <w:spacing w:line="560" w:lineRule="exact"/>
        <w:ind w:firstLine="640" w:firstLineChars="200"/>
        <w:jc w:val="center"/>
        <w:rPr>
          <w:rFonts w:hint="eastAsia" w:ascii="方正小标宋简体" w:eastAsia="方正小标宋简体" w:cs="方正小标宋简体"/>
          <w:bCs/>
          <w:kern w:val="44"/>
          <w:sz w:val="44"/>
          <w:szCs w:val="22"/>
        </w:rPr>
      </w:pPr>
      <w:r>
        <w:rPr>
          <w:rFonts w:hint="eastAsia" w:ascii="仿宋_GB2312" w:hAnsi="仿宋_GB2312" w:eastAsia="仿宋_GB2312" w:cs="仿宋_GB2312"/>
          <w:color w:val="000000"/>
          <w:sz w:val="32"/>
          <w:szCs w:val="32"/>
          <w:shd w:val="clear" w:color="auto" w:fill="FFFFFF"/>
          <w:lang w:bidi="ar"/>
        </w:rPr>
        <w:br w:type="page"/>
      </w:r>
      <w:r>
        <w:rPr>
          <w:rFonts w:hint="eastAsia" w:ascii="方正小标宋简体" w:eastAsia="方正小标宋简体" w:cs="方正小标宋简体"/>
          <w:bCs/>
          <w:kern w:val="44"/>
          <w:sz w:val="44"/>
          <w:szCs w:val="22"/>
        </w:rPr>
        <w:t>遴选指标评分表</w:t>
      </w:r>
    </w:p>
    <w:p>
      <w:pPr>
        <w:spacing w:line="480" w:lineRule="exact"/>
        <w:ind w:firstLine="643" w:firstLineChars="200"/>
        <w:rPr>
          <w:rFonts w:hint="eastAsia" w:ascii="仿宋_GB2312" w:hAnsi="仿宋_GB2312" w:eastAsia="仿宋_GB2312" w:cs="仿宋_GB2312"/>
          <w:b/>
          <w:bCs/>
          <w:sz w:val="32"/>
          <w:szCs w:val="32"/>
        </w:rPr>
      </w:pPr>
    </w:p>
    <w:p>
      <w:pPr>
        <w:tabs>
          <w:tab w:val="left" w:pos="660"/>
        </w:tabs>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一、评分表采用的评分方法：综合评分法</w:t>
      </w:r>
    </w:p>
    <w:p>
      <w:pPr>
        <w:tabs>
          <w:tab w:val="left" w:pos="660"/>
        </w:tabs>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二、评分因素：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本项目评分因素包括：报价及合理性、管理团队主要负责人及核心成员政府引导基金管理经验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管理团队主要负责人及核心成员累计管理的政府引导基金规模及运营管理情况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养老服务产业领域投资经验</w:t>
      </w:r>
      <w:r>
        <w:rPr>
          <w:rFonts w:hint="eastAsia" w:ascii="仿宋_GB2312" w:hAnsi="仿宋_GB2312" w:eastAsia="仿宋_GB2312" w:cs="仿宋_GB2312"/>
          <w:sz w:val="28"/>
          <w:szCs w:val="28"/>
        </w:rPr>
        <w:t>等。</w:t>
      </w:r>
    </w:p>
    <w:p>
      <w:pPr>
        <w:numPr>
          <w:ilvl w:val="0"/>
          <w:numId w:val="1"/>
        </w:numPr>
        <w:tabs>
          <w:tab w:val="left" w:pos="660"/>
        </w:tabs>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评分标准（采用以下具体步骤）</w:t>
      </w:r>
    </w:p>
    <w:p>
      <w:pPr>
        <w:spacing w:line="480" w:lineRule="exact"/>
        <w:ind w:firstLine="640" w:firstLineChars="200"/>
        <w:rPr>
          <w:rFonts w:hint="eastAsia" w:ascii="仿宋_GB2312" w:hAnsi="仿宋_GB2312" w:eastAsia="仿宋_GB2312" w:cs="仿宋_GB2312"/>
          <w:color w:val="000000"/>
          <w:sz w:val="32"/>
          <w:szCs w:val="32"/>
        </w:rPr>
      </w:pPr>
    </w:p>
    <w:tbl>
      <w:tblPr>
        <w:tblStyle w:val="1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Layout w:type="fixed"/>
        <w:tblCellMar>
          <w:top w:w="0" w:type="dxa"/>
          <w:left w:w="0" w:type="dxa"/>
          <w:bottom w:w="0" w:type="dxa"/>
          <w:right w:w="0" w:type="dxa"/>
        </w:tblCellMar>
      </w:tblPr>
      <w:tblGrid>
        <w:gridCol w:w="642"/>
        <w:gridCol w:w="762"/>
        <w:gridCol w:w="2316"/>
        <w:gridCol w:w="1249"/>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450"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
                <w:sz w:val="21"/>
                <w:szCs w:val="21"/>
              </w:rPr>
            </w:pPr>
            <w:r>
              <w:rPr>
                <w:rFonts w:hAnsi="仿宋_GB2312" w:cs="仿宋_GB2312"/>
                <w:b/>
                <w:sz w:val="21"/>
                <w:szCs w:val="21"/>
              </w:rPr>
              <w:t>序号</w:t>
            </w:r>
          </w:p>
        </w:tc>
        <w:tc>
          <w:tcPr>
            <w:tcW w:w="76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
                <w:sz w:val="21"/>
                <w:szCs w:val="21"/>
              </w:rPr>
            </w:pPr>
            <w:r>
              <w:rPr>
                <w:rFonts w:hint="eastAsia" w:hAnsi="仿宋_GB2312" w:cs="仿宋_GB2312"/>
                <w:b/>
                <w:sz w:val="21"/>
                <w:szCs w:val="21"/>
              </w:rPr>
              <w:t>分项</w:t>
            </w: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
                <w:sz w:val="21"/>
                <w:szCs w:val="21"/>
              </w:rPr>
            </w:pPr>
            <w:r>
              <w:rPr>
                <w:rFonts w:hint="eastAsia" w:hAnsi="仿宋_GB2312" w:cs="仿宋_GB2312"/>
                <w:b/>
                <w:sz w:val="21"/>
                <w:szCs w:val="21"/>
              </w:rPr>
              <w:t>评分因素</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
                <w:sz w:val="21"/>
                <w:szCs w:val="21"/>
              </w:rPr>
            </w:pPr>
            <w:r>
              <w:rPr>
                <w:rFonts w:hAnsi="仿宋_GB2312" w:cs="仿宋_GB2312"/>
                <w:b/>
                <w:sz w:val="21"/>
                <w:szCs w:val="21"/>
              </w:rPr>
              <w:t>最高加分</w:t>
            </w:r>
          </w:p>
        </w:tc>
        <w:tc>
          <w:tcPr>
            <w:tcW w:w="548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
                <w:sz w:val="21"/>
                <w:szCs w:val="21"/>
              </w:rPr>
            </w:pPr>
            <w:r>
              <w:rPr>
                <w:rFonts w:hAnsi="仿宋_GB2312" w:cs="仿宋_GB2312"/>
                <w:b/>
                <w:sz w:val="21"/>
                <w:szCs w:val="21"/>
              </w:rPr>
              <w:t>评审标准</w:t>
            </w:r>
            <w:r>
              <w:rPr>
                <w:rFonts w:hint="eastAsia" w:hAnsi="仿宋_GB2312" w:cs="仿宋_GB2312"/>
                <w:b/>
                <w:sz w:val="21"/>
                <w:szCs w:val="21"/>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2063"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Ansi="仿宋_GB2312" w:cs="仿宋_GB2312"/>
                <w:bCs/>
                <w:sz w:val="21"/>
                <w:szCs w:val="21"/>
              </w:rPr>
              <w:t>1</w:t>
            </w:r>
          </w:p>
        </w:tc>
        <w:tc>
          <w:tcPr>
            <w:tcW w:w="76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价格</w:t>
            </w: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基金管理费率报价</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rPr>
              <w:t>10分</w:t>
            </w:r>
          </w:p>
        </w:tc>
        <w:tc>
          <w:tcPr>
            <w:tcW w:w="5489" w:type="dxa"/>
            <w:shd w:val="clear" w:color="auto" w:fill="FDEADA"/>
            <w:noWrap/>
            <w:tcMar>
              <w:top w:w="10" w:type="dxa"/>
              <w:left w:w="10" w:type="dxa"/>
              <w:right w:w="10" w:type="dxa"/>
            </w:tcMar>
            <w:vAlign w:val="center"/>
          </w:tcPr>
          <w:p>
            <w:pPr>
              <w:pStyle w:val="14"/>
              <w:keepNext/>
              <w:widowControl/>
              <w:tabs>
                <w:tab w:val="left" w:pos="312"/>
              </w:tabs>
              <w:ind w:firstLineChars="0"/>
              <w:rPr>
                <w:rFonts w:hAnsi="仿宋_GB2312" w:cs="仿宋_GB2312"/>
                <w:bCs/>
                <w:sz w:val="21"/>
                <w:szCs w:val="21"/>
              </w:rPr>
            </w:pPr>
            <w:r>
              <w:rPr>
                <w:rFonts w:hint="eastAsia" w:hAnsi="仿宋_GB2312" w:cs="仿宋_GB2312"/>
                <w:bCs/>
                <w:sz w:val="21"/>
                <w:szCs w:val="21"/>
              </w:rPr>
              <w:t>基准报价费率为在投项目金额的【2】%，基础得分为</w:t>
            </w:r>
            <w:r>
              <w:rPr>
                <w:rFonts w:hAnsi="仿宋_GB2312" w:cs="仿宋_GB2312"/>
                <w:bCs/>
                <w:sz w:val="21"/>
                <w:szCs w:val="21"/>
              </w:rPr>
              <w:t>5</w:t>
            </w:r>
            <w:r>
              <w:rPr>
                <w:rFonts w:hint="eastAsia" w:hAnsi="仿宋_GB2312" w:cs="仿宋_GB2312"/>
                <w:bCs/>
                <w:sz w:val="21"/>
                <w:szCs w:val="21"/>
              </w:rPr>
              <w:t>分，每降低0.1个百分点加1分，总分为</w:t>
            </w:r>
            <w:r>
              <w:rPr>
                <w:rFonts w:hAnsi="仿宋_GB2312" w:cs="仿宋_GB2312"/>
                <w:bCs/>
                <w:sz w:val="21"/>
                <w:szCs w:val="21"/>
              </w:rPr>
              <w:t>10</w:t>
            </w:r>
            <w:r>
              <w:rPr>
                <w:rFonts w:hint="eastAsia" w:hAnsi="仿宋_GB2312" w:cs="仿宋_GB2312"/>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1224"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2</w:t>
            </w:r>
          </w:p>
        </w:tc>
        <w:tc>
          <w:tcPr>
            <w:tcW w:w="762" w:type="dxa"/>
            <w:vMerge w:val="restart"/>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商务</w:t>
            </w: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r>
              <w:rPr>
                <w:rFonts w:hint="eastAsia" w:hAnsi="仿宋_GB2312" w:cs="仿宋_GB2312"/>
                <w:bCs/>
                <w:sz w:val="21"/>
                <w:szCs w:val="21"/>
                <w:lang w:bidi="ar"/>
              </w:rPr>
              <w:t>管理团队主要负责人及核心成员政府引导基金管理经验</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25分</w:t>
            </w:r>
          </w:p>
        </w:tc>
        <w:tc>
          <w:tcPr>
            <w:tcW w:w="5489" w:type="dxa"/>
            <w:shd w:val="clear" w:color="auto" w:fill="FDEADA"/>
            <w:noWrap w:val="0"/>
            <w:tcMar>
              <w:top w:w="10" w:type="dxa"/>
              <w:left w:w="10" w:type="dxa"/>
              <w:right w:w="10" w:type="dxa"/>
            </w:tcMar>
            <w:vAlign w:val="center"/>
          </w:tcPr>
          <w:p>
            <w:pPr>
              <w:pStyle w:val="14"/>
              <w:widowControl/>
              <w:ind w:firstLine="367" w:firstLineChars="175"/>
              <w:jc w:val="left"/>
              <w:rPr>
                <w:rFonts w:hint="eastAsia" w:hAnsi="仿宋_GB2312" w:cs="仿宋_GB2312"/>
                <w:bCs/>
                <w:sz w:val="21"/>
                <w:szCs w:val="21"/>
                <w:lang w:bidi="ar"/>
              </w:rPr>
            </w:pPr>
            <w:r>
              <w:rPr>
                <w:rFonts w:hint="eastAsia" w:hAnsi="仿宋_GB2312" w:cs="仿宋_GB2312"/>
                <w:bCs/>
                <w:sz w:val="21"/>
                <w:szCs w:val="21"/>
                <w:lang w:bidi="ar"/>
              </w:rPr>
              <w:t>投标人管理过政府引导基金</w:t>
            </w:r>
            <w:r>
              <w:rPr>
                <w:rFonts w:hint="eastAsia" w:hAnsi="仿宋_GB2312" w:cs="仿宋_GB2312"/>
                <w:bCs/>
                <w:sz w:val="21"/>
                <w:szCs w:val="21"/>
                <w:lang w:val="en-US" w:eastAsia="zh-CN" w:bidi="ar"/>
              </w:rPr>
              <w:t>或其</w:t>
            </w:r>
            <w:r>
              <w:rPr>
                <w:rFonts w:hint="eastAsia" w:hAnsi="仿宋_GB2312" w:cs="仿宋_GB2312"/>
                <w:bCs/>
                <w:sz w:val="21"/>
                <w:szCs w:val="21"/>
                <w:lang w:bidi="ar"/>
              </w:rPr>
              <w:t>参股的产业（创业投资）基金，每个案例加3分，未管理过不得分。本项得分最高不超过25分。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2670"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3</w:t>
            </w:r>
          </w:p>
        </w:tc>
        <w:tc>
          <w:tcPr>
            <w:tcW w:w="762" w:type="dxa"/>
            <w:vMerge w:val="continue"/>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r>
              <w:rPr>
                <w:rFonts w:hint="eastAsia" w:hAnsi="仿宋_GB2312" w:cs="仿宋_GB2312"/>
                <w:bCs/>
                <w:sz w:val="21"/>
                <w:szCs w:val="21"/>
                <w:lang w:bidi="ar"/>
              </w:rPr>
              <w:t>管理团队主要负责人及核心成员累计管理的政府引导基金规模及运营管理情况</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25分</w:t>
            </w:r>
          </w:p>
        </w:tc>
        <w:tc>
          <w:tcPr>
            <w:tcW w:w="5489" w:type="dxa"/>
            <w:shd w:val="clear" w:color="auto" w:fill="FDEADA"/>
            <w:noWrap w:val="0"/>
            <w:tcMar>
              <w:top w:w="10" w:type="dxa"/>
              <w:left w:w="10" w:type="dxa"/>
              <w:right w:w="10" w:type="dxa"/>
            </w:tcMar>
            <w:vAlign w:val="center"/>
          </w:tcPr>
          <w:p>
            <w:pPr>
              <w:pStyle w:val="14"/>
              <w:widowControl/>
              <w:numPr>
                <w:ilvl w:val="0"/>
                <w:numId w:val="2"/>
              </w:numPr>
              <w:ind w:firstLineChars="0"/>
              <w:rPr>
                <w:rFonts w:hint="eastAsia" w:hAnsi="仿宋_GB2312" w:cs="仿宋_GB2312"/>
                <w:bCs/>
                <w:sz w:val="21"/>
                <w:szCs w:val="21"/>
                <w:lang w:bidi="ar"/>
              </w:rPr>
            </w:pPr>
            <w:r>
              <w:rPr>
                <w:rFonts w:hint="eastAsia" w:hAnsi="仿宋_GB2312" w:cs="仿宋_GB2312"/>
                <w:bCs/>
                <w:sz w:val="21"/>
                <w:szCs w:val="21"/>
              </w:rPr>
              <w:t>投标人累计管理的股权投资基金规模在50亿元以上的可得1分，每增加10亿元加0.5分，最高不超过9分；</w:t>
            </w:r>
          </w:p>
          <w:p>
            <w:pPr>
              <w:pStyle w:val="14"/>
              <w:widowControl/>
              <w:numPr>
                <w:ilvl w:val="0"/>
                <w:numId w:val="2"/>
              </w:numPr>
              <w:ind w:firstLineChars="0"/>
              <w:rPr>
                <w:rFonts w:hint="eastAsia" w:hAnsi="仿宋_GB2312" w:cs="仿宋_GB2312"/>
                <w:bCs/>
                <w:sz w:val="21"/>
                <w:szCs w:val="21"/>
                <w:lang w:bidi="ar"/>
              </w:rPr>
            </w:pPr>
            <w:r>
              <w:rPr>
                <w:rFonts w:hint="eastAsia" w:hAnsi="仿宋_GB2312" w:cs="仿宋_GB2312"/>
                <w:bCs/>
                <w:sz w:val="21"/>
                <w:szCs w:val="21"/>
                <w:lang w:bidi="ar"/>
              </w:rPr>
              <w:t>投标人累计管理的基金实际投资规模在10亿元以上的可得1分，每增加10亿元加0.5分，最高不超过8分；</w:t>
            </w:r>
          </w:p>
          <w:p>
            <w:pPr>
              <w:pStyle w:val="14"/>
              <w:widowControl/>
              <w:numPr>
                <w:ilvl w:val="0"/>
                <w:numId w:val="2"/>
              </w:numPr>
              <w:ind w:firstLineChars="0"/>
              <w:rPr>
                <w:rFonts w:hint="eastAsia" w:hAnsi="仿宋_GB2312" w:cs="仿宋_GB2312"/>
                <w:bCs/>
                <w:sz w:val="21"/>
                <w:szCs w:val="21"/>
                <w:lang w:bidi="ar"/>
              </w:rPr>
            </w:pPr>
            <w:r>
              <w:rPr>
                <w:rFonts w:hint="eastAsia" w:hAnsi="仿宋_GB2312" w:cs="仿宋_GB2312"/>
                <w:bCs/>
                <w:sz w:val="21"/>
                <w:szCs w:val="21"/>
                <w:lang w:bidi="ar"/>
              </w:rPr>
              <w:t>投标人累计管理的基金实际投资项目个数在10个以上的可得1分，每增加10个加0.5分，最高不超过8分。</w:t>
            </w:r>
          </w:p>
          <w:p>
            <w:pPr>
              <w:pStyle w:val="14"/>
              <w:keepNext/>
              <w:widowControl/>
              <w:ind w:firstLine="420"/>
              <w:rPr>
                <w:rFonts w:hint="eastAsia" w:hAnsi="仿宋_GB2312" w:cs="仿宋_GB2312"/>
                <w:bCs/>
                <w:sz w:val="21"/>
                <w:szCs w:val="21"/>
                <w:lang w:bidi="ar"/>
              </w:rPr>
            </w:pPr>
            <w:r>
              <w:rPr>
                <w:rFonts w:hint="eastAsia" w:ascii="楷体" w:hAnsi="楷体" w:eastAsia="楷体" w:cs="楷体"/>
                <w:bCs/>
                <w:sz w:val="21"/>
                <w:szCs w:val="21"/>
              </w:rPr>
              <w:t>注解：上述为管理的股权投资基金规模为实缴到位的规模。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1143"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rPr>
            </w:pPr>
            <w:r>
              <w:rPr>
                <w:rFonts w:hint="eastAsia" w:hAnsi="仿宋_GB2312" w:cs="仿宋_GB2312"/>
                <w:bCs/>
                <w:sz w:val="21"/>
                <w:szCs w:val="21"/>
              </w:rPr>
              <w:t>4</w:t>
            </w:r>
          </w:p>
        </w:tc>
        <w:tc>
          <w:tcPr>
            <w:tcW w:w="762" w:type="dxa"/>
            <w:vMerge w:val="continue"/>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管理团队主要负责人及核心成员管理</w:t>
            </w:r>
            <w:r>
              <w:rPr>
                <w:rFonts w:hint="eastAsia" w:hAnsi="仿宋_GB2312" w:cs="仿宋_GB2312"/>
                <w:bCs/>
                <w:sz w:val="21"/>
                <w:szCs w:val="21"/>
                <w:lang w:val="en-US" w:eastAsia="zh-CN" w:bidi="ar"/>
              </w:rPr>
              <w:t>过的</w:t>
            </w:r>
            <w:r>
              <w:rPr>
                <w:rFonts w:hint="eastAsia" w:hAnsi="仿宋_GB2312" w:cs="仿宋_GB2312"/>
                <w:bCs/>
                <w:sz w:val="21"/>
                <w:szCs w:val="21"/>
                <w:lang w:bidi="ar"/>
              </w:rPr>
              <w:t>基金有成功上市</w:t>
            </w:r>
            <w:r>
              <w:rPr>
                <w:rFonts w:hint="eastAsia" w:hAnsi="仿宋_GB2312" w:cs="仿宋_GB2312"/>
                <w:bCs/>
                <w:sz w:val="21"/>
                <w:szCs w:val="21"/>
                <w:lang w:val="en-US" w:eastAsia="zh-CN" w:bidi="ar"/>
              </w:rPr>
              <w:t>或成功退出</w:t>
            </w:r>
            <w:r>
              <w:rPr>
                <w:rFonts w:hint="eastAsia" w:hAnsi="仿宋_GB2312" w:cs="仿宋_GB2312"/>
                <w:bCs/>
                <w:sz w:val="21"/>
                <w:szCs w:val="21"/>
                <w:lang w:bidi="ar"/>
              </w:rPr>
              <w:t>的案例</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15分</w:t>
            </w:r>
          </w:p>
        </w:tc>
        <w:tc>
          <w:tcPr>
            <w:tcW w:w="5489" w:type="dxa"/>
            <w:shd w:val="clear" w:color="auto" w:fill="FDEADA"/>
            <w:noWrap w:val="0"/>
            <w:tcMar>
              <w:top w:w="10" w:type="dxa"/>
              <w:left w:w="10" w:type="dxa"/>
              <w:right w:w="10" w:type="dxa"/>
            </w:tcMar>
            <w:vAlign w:val="center"/>
          </w:tcPr>
          <w:p>
            <w:pPr>
              <w:pStyle w:val="14"/>
              <w:widowControl/>
              <w:ind w:firstLine="367" w:firstLineChars="175"/>
              <w:jc w:val="left"/>
              <w:rPr>
                <w:rFonts w:hAnsi="仿宋_GB2312" w:cs="仿宋_GB2312"/>
                <w:bCs/>
                <w:sz w:val="21"/>
                <w:szCs w:val="21"/>
                <w:lang w:bidi="ar"/>
              </w:rPr>
            </w:pPr>
            <w:r>
              <w:rPr>
                <w:rFonts w:hint="eastAsia" w:hAnsi="仿宋_GB2312" w:cs="仿宋_GB2312"/>
                <w:bCs/>
                <w:sz w:val="21"/>
                <w:szCs w:val="21"/>
                <w:lang w:bidi="ar"/>
              </w:rPr>
              <w:t>投标人管理的基金</w:t>
            </w:r>
            <w:r>
              <w:rPr>
                <w:rFonts w:hint="eastAsia" w:hAnsi="仿宋_GB2312" w:cs="仿宋_GB2312"/>
                <w:bCs/>
                <w:sz w:val="21"/>
                <w:szCs w:val="21"/>
                <w:lang w:bidi="ar"/>
              </w:rPr>
              <w:t>管理</w:t>
            </w:r>
            <w:r>
              <w:rPr>
                <w:rFonts w:hint="eastAsia" w:hAnsi="仿宋_GB2312" w:cs="仿宋_GB2312"/>
                <w:bCs/>
                <w:sz w:val="21"/>
                <w:szCs w:val="21"/>
                <w:lang w:val="en-US" w:eastAsia="zh-CN" w:bidi="ar"/>
              </w:rPr>
              <w:t>过的</w:t>
            </w:r>
            <w:r>
              <w:rPr>
                <w:rFonts w:hint="eastAsia" w:hAnsi="仿宋_GB2312" w:cs="仿宋_GB2312"/>
                <w:bCs/>
                <w:sz w:val="21"/>
                <w:szCs w:val="21"/>
                <w:lang w:bidi="ar"/>
              </w:rPr>
              <w:t>基金有成功上市</w:t>
            </w:r>
            <w:r>
              <w:rPr>
                <w:rFonts w:hint="eastAsia" w:hAnsi="仿宋_GB2312" w:cs="仿宋_GB2312"/>
                <w:bCs/>
                <w:sz w:val="21"/>
                <w:szCs w:val="21"/>
                <w:lang w:val="en-US" w:eastAsia="zh-CN" w:bidi="ar"/>
              </w:rPr>
              <w:t>或成功退出</w:t>
            </w:r>
            <w:r>
              <w:rPr>
                <w:rFonts w:hint="eastAsia" w:hAnsi="仿宋_GB2312" w:cs="仿宋_GB2312"/>
                <w:bCs/>
                <w:sz w:val="21"/>
                <w:szCs w:val="21"/>
                <w:lang w:bidi="ar"/>
              </w:rPr>
              <w:t>的案例</w:t>
            </w:r>
            <w:r>
              <w:rPr>
                <w:rFonts w:hint="eastAsia" w:hAnsi="仿宋_GB2312" w:cs="仿宋_GB2312"/>
                <w:bCs/>
                <w:sz w:val="21"/>
                <w:szCs w:val="21"/>
                <w:lang w:bidi="ar"/>
              </w:rPr>
              <w:t>得5分，每增加1个可加5分，本项得分最高不超过1</w:t>
            </w:r>
            <w:r>
              <w:rPr>
                <w:rFonts w:hAnsi="仿宋_GB2312" w:cs="仿宋_GB2312"/>
                <w:bCs/>
                <w:sz w:val="21"/>
                <w:szCs w:val="21"/>
                <w:lang w:bidi="ar"/>
              </w:rPr>
              <w:t>5</w:t>
            </w:r>
            <w:r>
              <w:rPr>
                <w:rFonts w:hint="eastAsia" w:hAnsi="仿宋_GB2312" w:cs="仿宋_GB2312"/>
                <w:bCs/>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1155"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rPr>
            </w:pPr>
            <w:r>
              <w:rPr>
                <w:rFonts w:hint="eastAsia" w:hAnsi="仿宋_GB2312" w:cs="仿宋_GB2312"/>
                <w:bCs/>
                <w:sz w:val="21"/>
                <w:szCs w:val="21"/>
              </w:rPr>
              <w:t>5</w:t>
            </w:r>
          </w:p>
        </w:tc>
        <w:tc>
          <w:tcPr>
            <w:tcW w:w="762" w:type="dxa"/>
            <w:vMerge w:val="continue"/>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r>
              <w:rPr>
                <w:rFonts w:hint="eastAsia" w:hAnsi="仿宋_GB2312" w:cs="仿宋_GB2312"/>
                <w:bCs/>
                <w:sz w:val="21"/>
                <w:szCs w:val="21"/>
                <w:lang w:bidi="ar"/>
              </w:rPr>
              <w:t>管理团队主要负责人及核心成员在贵州省养老服务产业领域有投资案例</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10分</w:t>
            </w:r>
          </w:p>
        </w:tc>
        <w:tc>
          <w:tcPr>
            <w:tcW w:w="5489" w:type="dxa"/>
            <w:shd w:val="clear" w:color="auto" w:fill="FDEADA"/>
            <w:noWrap w:val="0"/>
            <w:tcMar>
              <w:top w:w="10" w:type="dxa"/>
              <w:left w:w="10" w:type="dxa"/>
              <w:right w:w="10" w:type="dxa"/>
            </w:tcMar>
            <w:vAlign w:val="center"/>
          </w:tcPr>
          <w:p>
            <w:pPr>
              <w:pStyle w:val="14"/>
              <w:widowControl/>
              <w:ind w:firstLine="367" w:firstLineChars="175"/>
              <w:jc w:val="left"/>
              <w:rPr>
                <w:rFonts w:hint="eastAsia" w:hAnsi="仿宋_GB2312" w:cs="仿宋_GB2312"/>
                <w:bCs/>
                <w:sz w:val="21"/>
                <w:szCs w:val="21"/>
                <w:lang w:bidi="ar"/>
              </w:rPr>
            </w:pPr>
            <w:r>
              <w:rPr>
                <w:rFonts w:hint="eastAsia" w:hAnsi="仿宋_GB2312" w:cs="仿宋_GB2312"/>
                <w:bCs/>
                <w:sz w:val="21"/>
                <w:szCs w:val="21"/>
                <w:lang w:bidi="ar"/>
              </w:rPr>
              <w:t>投标人在贵州省养老服务产业领域至少有2个投资案例的得4分，每增加1个可加2分，本项得分最高不超过10分。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531"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6</w:t>
            </w:r>
          </w:p>
        </w:tc>
        <w:tc>
          <w:tcPr>
            <w:tcW w:w="762" w:type="dxa"/>
            <w:vMerge w:val="continue"/>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lang w:bidi="ar"/>
              </w:rPr>
            </w:pP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团队有专职私募基金管理人员情况</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5分</w:t>
            </w:r>
          </w:p>
        </w:tc>
        <w:tc>
          <w:tcPr>
            <w:tcW w:w="5489" w:type="dxa"/>
            <w:shd w:val="clear" w:color="auto" w:fill="FDEADA"/>
            <w:noWrap w:val="0"/>
            <w:tcMar>
              <w:top w:w="10" w:type="dxa"/>
              <w:left w:w="10" w:type="dxa"/>
              <w:right w:w="10" w:type="dxa"/>
            </w:tcMar>
            <w:vAlign w:val="center"/>
          </w:tcPr>
          <w:p>
            <w:pPr>
              <w:pStyle w:val="14"/>
              <w:widowControl/>
              <w:ind w:firstLine="367" w:firstLineChars="175"/>
              <w:jc w:val="left"/>
              <w:rPr>
                <w:rFonts w:hint="eastAsia" w:hAnsi="仿宋_GB2312" w:cs="仿宋_GB2312"/>
                <w:bCs/>
                <w:sz w:val="21"/>
                <w:szCs w:val="21"/>
                <w:lang w:bidi="ar"/>
              </w:rPr>
            </w:pPr>
            <w:r>
              <w:rPr>
                <w:rFonts w:hint="eastAsia" w:hAnsi="仿宋_GB2312" w:cs="仿宋_GB2312"/>
                <w:bCs/>
                <w:sz w:val="21"/>
                <w:szCs w:val="21"/>
                <w:lang w:bidi="ar"/>
              </w:rPr>
              <w:t>投标人团队有专职私募基金管理人员超5个（含）的得1分，每增加1个可加0.2分，本项最高加分不超过5分。</w:t>
            </w:r>
          </w:p>
          <w:p>
            <w:pPr>
              <w:pStyle w:val="14"/>
              <w:widowControl/>
              <w:ind w:firstLine="367" w:firstLineChars="175"/>
              <w:jc w:val="left"/>
              <w:rPr>
                <w:rFonts w:hint="eastAsia" w:hAnsi="仿宋_GB2312" w:cs="仿宋_GB2312"/>
                <w:bCs/>
                <w:sz w:val="21"/>
                <w:szCs w:val="21"/>
                <w:lang w:bidi="ar"/>
              </w:rPr>
            </w:pPr>
            <w:r>
              <w:rPr>
                <w:rFonts w:hint="eastAsia" w:ascii="楷体" w:hAnsi="楷体" w:eastAsia="楷体" w:cs="楷体"/>
                <w:bCs/>
                <w:sz w:val="21"/>
                <w:szCs w:val="21"/>
              </w:rPr>
              <w:t>注解：需提供上述人员持有的基金从业资格证。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531" w:hRule="atLeast"/>
          <w:jc w:val="center"/>
        </w:trPr>
        <w:tc>
          <w:tcPr>
            <w:tcW w:w="642"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7</w:t>
            </w:r>
          </w:p>
        </w:tc>
        <w:tc>
          <w:tcPr>
            <w:tcW w:w="762" w:type="dxa"/>
            <w:vMerge w:val="continue"/>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p>
        </w:tc>
        <w:tc>
          <w:tcPr>
            <w:tcW w:w="2316" w:type="dxa"/>
            <w:shd w:val="clear" w:color="auto" w:fill="FDEADA"/>
            <w:noWrap/>
            <w:tcMar>
              <w:top w:w="10" w:type="dxa"/>
              <w:left w:w="10" w:type="dxa"/>
              <w:right w:w="10" w:type="dxa"/>
            </w:tcMar>
            <w:vAlign w:val="center"/>
          </w:tcPr>
          <w:p>
            <w:pPr>
              <w:pStyle w:val="14"/>
              <w:widowControl/>
              <w:ind w:firstLine="0" w:firstLineChars="0"/>
              <w:jc w:val="center"/>
              <w:rPr>
                <w:rFonts w:hint="eastAsia" w:hAnsi="仿宋_GB2312" w:cs="仿宋_GB2312"/>
                <w:bCs/>
                <w:sz w:val="21"/>
                <w:szCs w:val="21"/>
              </w:rPr>
            </w:pPr>
            <w:r>
              <w:rPr>
                <w:rFonts w:hint="eastAsia" w:hAnsi="仿宋_GB2312" w:cs="仿宋_GB2312"/>
                <w:bCs/>
                <w:sz w:val="21"/>
                <w:szCs w:val="21"/>
              </w:rPr>
              <w:t>团队本地化</w:t>
            </w:r>
          </w:p>
        </w:tc>
        <w:tc>
          <w:tcPr>
            <w:tcW w:w="1249" w:type="dxa"/>
            <w:shd w:val="clear" w:color="auto" w:fill="FDEADA"/>
            <w:noWrap/>
            <w:tcMar>
              <w:top w:w="10" w:type="dxa"/>
              <w:left w:w="10" w:type="dxa"/>
              <w:right w:w="10" w:type="dxa"/>
            </w:tcMar>
            <w:vAlign w:val="center"/>
          </w:tcPr>
          <w:p>
            <w:pPr>
              <w:pStyle w:val="14"/>
              <w:widowControl/>
              <w:ind w:firstLine="0" w:firstLineChars="0"/>
              <w:jc w:val="center"/>
              <w:rPr>
                <w:rFonts w:hAnsi="仿宋_GB2312" w:cs="仿宋_GB2312"/>
                <w:bCs/>
                <w:sz w:val="21"/>
                <w:szCs w:val="21"/>
                <w:lang w:bidi="ar"/>
              </w:rPr>
            </w:pPr>
            <w:r>
              <w:rPr>
                <w:rFonts w:hint="eastAsia" w:hAnsi="仿宋_GB2312" w:cs="仿宋_GB2312"/>
                <w:bCs/>
                <w:sz w:val="21"/>
                <w:szCs w:val="21"/>
                <w:lang w:bidi="ar"/>
              </w:rPr>
              <w:t>10分</w:t>
            </w:r>
          </w:p>
        </w:tc>
        <w:tc>
          <w:tcPr>
            <w:tcW w:w="5489" w:type="dxa"/>
            <w:shd w:val="clear" w:color="auto" w:fill="FDEADA"/>
            <w:noWrap w:val="0"/>
            <w:tcMar>
              <w:top w:w="10" w:type="dxa"/>
              <w:left w:w="10" w:type="dxa"/>
              <w:right w:w="10" w:type="dxa"/>
            </w:tcMar>
            <w:vAlign w:val="center"/>
          </w:tcPr>
          <w:p>
            <w:pPr>
              <w:pStyle w:val="14"/>
              <w:widowControl/>
              <w:ind w:firstLine="367" w:firstLineChars="175"/>
              <w:jc w:val="left"/>
              <w:rPr>
                <w:rFonts w:hint="eastAsia" w:hAnsi="仿宋_GB2312" w:cs="仿宋_GB2312"/>
                <w:bCs/>
                <w:sz w:val="21"/>
                <w:szCs w:val="21"/>
              </w:rPr>
            </w:pPr>
            <w:r>
              <w:rPr>
                <w:rFonts w:hint="eastAsia" w:hAnsi="仿宋_GB2312" w:cs="仿宋_GB2312"/>
                <w:bCs/>
                <w:sz w:val="21"/>
                <w:szCs w:val="21"/>
              </w:rPr>
              <w:t>投标人在本地有管理团队或在本地已组建管理团队常驻贵州，且团队有包含至少3名具有3年以上基金管理工作经验的人员加10分。</w:t>
            </w:r>
          </w:p>
          <w:p>
            <w:pPr>
              <w:pStyle w:val="14"/>
              <w:widowControl/>
              <w:ind w:firstLine="367" w:firstLineChars="175"/>
              <w:jc w:val="left"/>
              <w:rPr>
                <w:rFonts w:hint="eastAsia" w:hAnsi="仿宋_GB2312" w:cs="仿宋_GB2312"/>
                <w:bCs/>
                <w:sz w:val="21"/>
                <w:szCs w:val="21"/>
              </w:rPr>
            </w:pPr>
            <w:r>
              <w:rPr>
                <w:rFonts w:hint="eastAsia" w:ascii="楷体" w:hAnsi="楷体" w:eastAsia="楷体" w:cs="楷体"/>
                <w:bCs/>
                <w:sz w:val="21"/>
                <w:szCs w:val="21"/>
              </w:rPr>
              <w:t>注解：需提供上述人员在本地缴纳</w:t>
            </w:r>
            <w:r>
              <w:rPr>
                <w:rFonts w:hint="eastAsia" w:ascii="楷体" w:hAnsi="楷体" w:eastAsia="楷体" w:cs="楷体"/>
                <w:bCs/>
                <w:sz w:val="21"/>
                <w:szCs w:val="21"/>
                <w:lang w:val="en-US" w:eastAsia="zh-CN"/>
              </w:rPr>
              <w:t>社保或医保</w:t>
            </w:r>
            <w:r>
              <w:rPr>
                <w:rFonts w:hint="eastAsia" w:ascii="楷体" w:hAnsi="楷体" w:eastAsia="楷体" w:cs="楷体"/>
                <w:bCs/>
                <w:sz w:val="21"/>
                <w:szCs w:val="21"/>
              </w:rPr>
              <w:t>的记录凭证。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blCellMar>
            <w:top w:w="0" w:type="dxa"/>
            <w:left w:w="0" w:type="dxa"/>
            <w:bottom w:w="0" w:type="dxa"/>
            <w:right w:w="0" w:type="dxa"/>
          </w:tblCellMar>
        </w:tblPrEx>
        <w:trPr>
          <w:trHeight w:val="482" w:hRule="atLeast"/>
          <w:jc w:val="center"/>
        </w:trPr>
        <w:tc>
          <w:tcPr>
            <w:tcW w:w="3720" w:type="dxa"/>
            <w:gridSpan w:val="3"/>
            <w:shd w:val="clear" w:color="auto" w:fill="FDEADA"/>
            <w:noWrap/>
            <w:tcMar>
              <w:top w:w="10" w:type="dxa"/>
              <w:left w:w="10" w:type="dxa"/>
              <w:right w:w="10" w:type="dxa"/>
            </w:tcMar>
            <w:vAlign w:val="center"/>
          </w:tcPr>
          <w:p>
            <w:pPr>
              <w:pStyle w:val="14"/>
              <w:keepNext/>
              <w:widowControl/>
              <w:ind w:firstLine="0" w:firstLineChars="0"/>
              <w:jc w:val="center"/>
              <w:rPr>
                <w:rFonts w:hint="eastAsia" w:hAnsi="仿宋_GB2312" w:cs="仿宋_GB2312"/>
                <w:b/>
                <w:sz w:val="21"/>
                <w:szCs w:val="21"/>
              </w:rPr>
            </w:pPr>
            <w:r>
              <w:rPr>
                <w:rFonts w:hint="eastAsia" w:hAnsi="仿宋_GB2312" w:cs="仿宋_GB2312"/>
                <w:b/>
                <w:sz w:val="21"/>
                <w:szCs w:val="21"/>
              </w:rPr>
              <w:t>合计</w:t>
            </w:r>
          </w:p>
        </w:tc>
        <w:tc>
          <w:tcPr>
            <w:tcW w:w="1249" w:type="dxa"/>
            <w:shd w:val="clear" w:color="auto" w:fill="FDEADA"/>
            <w:noWrap/>
            <w:tcMar>
              <w:top w:w="10" w:type="dxa"/>
              <w:left w:w="10" w:type="dxa"/>
              <w:right w:w="10" w:type="dxa"/>
            </w:tcMar>
            <w:vAlign w:val="center"/>
          </w:tcPr>
          <w:p>
            <w:pPr>
              <w:pStyle w:val="14"/>
              <w:keepNext/>
              <w:widowControl/>
              <w:ind w:firstLine="0" w:firstLineChars="0"/>
              <w:jc w:val="center"/>
              <w:rPr>
                <w:rFonts w:hAnsi="仿宋_GB2312" w:cs="仿宋_GB2312"/>
                <w:b/>
                <w:sz w:val="21"/>
                <w:szCs w:val="21"/>
              </w:rPr>
            </w:pPr>
            <w:r>
              <w:rPr>
                <w:rFonts w:hint="eastAsia" w:hAnsi="仿宋_GB2312" w:cs="仿宋_GB2312"/>
                <w:b/>
                <w:sz w:val="21"/>
                <w:szCs w:val="21"/>
              </w:rPr>
              <w:t>100分</w:t>
            </w:r>
          </w:p>
        </w:tc>
        <w:tc>
          <w:tcPr>
            <w:tcW w:w="5489" w:type="dxa"/>
            <w:shd w:val="clear" w:color="auto" w:fill="FDEADA"/>
            <w:noWrap/>
            <w:tcMar>
              <w:top w:w="10" w:type="dxa"/>
              <w:left w:w="10" w:type="dxa"/>
              <w:right w:w="10" w:type="dxa"/>
            </w:tcMar>
            <w:vAlign w:val="center"/>
          </w:tcPr>
          <w:p>
            <w:pPr>
              <w:pStyle w:val="14"/>
              <w:keepNext/>
              <w:widowControl/>
              <w:ind w:firstLine="0" w:firstLineChars="0"/>
              <w:jc w:val="center"/>
              <w:rPr>
                <w:rFonts w:hint="eastAsia" w:hAnsi="仿宋_GB2312" w:cs="仿宋_GB2312"/>
                <w:b/>
                <w:sz w:val="21"/>
                <w:szCs w:val="21"/>
              </w:rPr>
            </w:pPr>
          </w:p>
        </w:tc>
      </w:tr>
    </w:tbl>
    <w:p>
      <w:pPr>
        <w:spacing w:line="480" w:lineRule="exact"/>
        <w:ind w:firstLine="640" w:firstLineChars="200"/>
        <w:rPr>
          <w:rFonts w:hint="eastAsia" w:ascii="仿宋_GB2312" w:hAnsi="仿宋_GB2312" w:eastAsia="仿宋_GB2312" w:cs="仿宋_GB2312"/>
          <w:color w:val="000000"/>
          <w:sz w:val="32"/>
          <w:szCs w:val="32"/>
        </w:rPr>
      </w:pPr>
    </w:p>
    <w:p>
      <w:pPr>
        <w:spacing w:line="48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b/>
          <w:bCs/>
          <w:color w:val="000000"/>
          <w:sz w:val="32"/>
          <w:szCs w:val="32"/>
        </w:rPr>
        <w:t>评分总得分计算方法：</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评分总得分＝（F1＋F2＋F3＋……＋Fn）/n</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F1、F2……Fn分别为各项评分因素的汇总得分；</w:t>
      </w:r>
    </w:p>
    <w:p>
      <w:pPr>
        <w:spacing w:line="48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n为评分委员会成员人数</w:t>
      </w:r>
    </w:p>
    <w:p>
      <w:pPr>
        <w:spacing w:line="48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注：以上打分均为整数，计算最终得分保留小数一位；</w:t>
      </w:r>
    </w:p>
    <w:p>
      <w:pPr>
        <w:numPr>
          <w:ilvl w:val="0"/>
          <w:numId w:val="3"/>
        </w:numPr>
        <w:spacing w:line="48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排序原则：</w:t>
      </w:r>
      <w:r>
        <w:rPr>
          <w:rFonts w:hint="eastAsia" w:ascii="仿宋_GB2312" w:hAnsi="仿宋_GB2312" w:eastAsia="仿宋_GB2312" w:cs="仿宋_GB2312"/>
          <w:color w:val="000000"/>
          <w:sz w:val="28"/>
          <w:szCs w:val="28"/>
        </w:rPr>
        <w:t>按评审得分由高到低顺序排序。</w:t>
      </w:r>
    </w:p>
    <w:p>
      <w:pPr>
        <w:spacing w:line="48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b/>
          <w:color w:val="000000"/>
          <w:sz w:val="28"/>
          <w:szCs w:val="28"/>
        </w:rPr>
        <w:t>成交</w:t>
      </w:r>
      <w:r>
        <w:rPr>
          <w:rFonts w:hint="eastAsia" w:ascii="仿宋_GB2312" w:hAnsi="仿宋_GB2312" w:eastAsia="仿宋_GB2312" w:cs="仿宋_GB2312"/>
          <w:b/>
          <w:bCs/>
          <w:color w:val="000000"/>
          <w:sz w:val="28"/>
          <w:szCs w:val="28"/>
        </w:rPr>
        <w:t>原则：</w:t>
      </w:r>
    </w:p>
    <w:p>
      <w:pPr>
        <w:pStyle w:val="6"/>
        <w:spacing w:line="480" w:lineRule="exact"/>
        <w:ind w:firstLineChars="200"/>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（1）以90分为合格线，符合申报条件的申报人评标总得分不低于90分的，均可推荐为中选申报人，由省民政厅从合格申报人中确定中选申报人。</w:t>
      </w:r>
    </w:p>
    <w:p>
      <w:pPr>
        <w:pStyle w:val="6"/>
        <w:spacing w:line="480" w:lineRule="exact"/>
        <w:ind w:firstLineChars="200"/>
        <w:jc w:val="both"/>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（2）仅1家符合申报条件的申报人参与遴选时，其评分总得分不低于90分的，也可确定该申报人为中选申报人。</w:t>
      </w:r>
    </w:p>
    <w:p>
      <w:pPr>
        <w:pStyle w:val="6"/>
        <w:spacing w:line="480" w:lineRule="exact"/>
        <w:ind w:firstLine="562" w:firstLineChars="200"/>
        <w:jc w:val="both"/>
        <w:rPr>
          <w:rFonts w:ascii="仿宋_GB2312" w:hAnsi="仿宋_GB2312" w:eastAsia="仿宋_GB2312" w:cs="仿宋_GB2312"/>
          <w:b/>
          <w:bCs/>
          <w:color w:val="000000"/>
          <w:szCs w:val="28"/>
        </w:rPr>
      </w:pPr>
      <w:r>
        <w:rPr>
          <w:rFonts w:hint="eastAsia" w:ascii="仿宋_GB2312" w:hAnsi="仿宋_GB2312" w:eastAsia="仿宋_GB2312" w:cs="仿宋_GB2312"/>
          <w:b/>
          <w:bCs/>
          <w:color w:val="000000"/>
          <w:szCs w:val="28"/>
        </w:rPr>
        <w:t>四、本评分办法的解释权为贵州省民政厅。</w:t>
      </w:r>
    </w:p>
    <w:p>
      <w:pPr>
        <w:pStyle w:val="14"/>
        <w:wordWrap w:val="0"/>
        <w:overflowPunct w:val="0"/>
        <w:spacing w:line="580" w:lineRule="exact"/>
        <w:ind w:firstLine="0" w:firstLineChars="0"/>
        <w:rPr>
          <w:rFonts w:hint="eastAsia" w:ascii="方正仿宋_GB18030" w:hAnsi="方正仿宋_GB18030" w:eastAsia="方正仿宋_GB18030" w:cs="方正仿宋_GB18030"/>
          <w:bCs/>
          <w:szCs w:val="32"/>
          <w:lang w:eastAsia="zh-CN"/>
        </w:rPr>
      </w:pPr>
      <w:r>
        <w:rPr>
          <w:rFonts w:ascii="Times New Roman" w:hAnsi="Times New Roman"/>
          <w:bCs/>
          <w:szCs w:val="32"/>
        </w:rPr>
        <w:br w:type="page"/>
      </w:r>
      <w:bookmarkEnd w:id="3"/>
      <w:r>
        <w:rPr>
          <w:rFonts w:hint="eastAsia" w:ascii="方正仿宋_GB18030" w:hAnsi="方正仿宋_GB18030" w:eastAsia="方正仿宋_GB18030" w:cs="方正仿宋_GB18030"/>
          <w:bCs/>
          <w:szCs w:val="32"/>
        </w:rPr>
        <w:t>附件</w:t>
      </w:r>
      <w:r>
        <w:rPr>
          <w:rFonts w:hint="eastAsia" w:ascii="方正仿宋_GB18030" w:hAnsi="方正仿宋_GB18030" w:eastAsia="方正仿宋_GB18030" w:cs="方正仿宋_GB18030"/>
          <w:bCs/>
          <w:szCs w:val="32"/>
          <w:lang w:val="en-US" w:eastAsia="zh-CN"/>
        </w:rPr>
        <w:t>1</w:t>
      </w:r>
    </w:p>
    <w:p>
      <w:pPr>
        <w:pStyle w:val="15"/>
        <w:widowControl w:val="0"/>
        <w:overflowPunct w:val="0"/>
        <w:spacing w:before="0" w:beforeAutospacing="0" w:after="0" w:afterAutospacing="0" w:line="560" w:lineRule="exact"/>
        <w:jc w:val="center"/>
        <w:outlineLvl w:val="0"/>
        <w:rPr>
          <w:rFonts w:hint="eastAsia" w:ascii="方正小标宋简体" w:eastAsia="方正小标宋简体" w:cs="方正小标宋简体"/>
          <w:bCs/>
          <w:kern w:val="44"/>
          <w:sz w:val="44"/>
        </w:rPr>
      </w:pPr>
    </w:p>
    <w:p>
      <w:pPr>
        <w:pStyle w:val="15"/>
        <w:widowControl w:val="0"/>
        <w:overflowPunct w:val="0"/>
        <w:spacing w:before="0" w:beforeAutospacing="0" w:after="0" w:afterAutospacing="0" w:line="560" w:lineRule="exact"/>
        <w:jc w:val="center"/>
        <w:outlineLvl w:val="0"/>
        <w:rPr>
          <w:rFonts w:hint="eastAsia" w:ascii="方正小标宋简体" w:eastAsia="方正小标宋简体" w:cs="方正小标宋简体"/>
          <w:bCs/>
          <w:kern w:val="44"/>
          <w:sz w:val="44"/>
        </w:rPr>
      </w:pPr>
      <w:r>
        <w:rPr>
          <w:rFonts w:hint="eastAsia" w:ascii="方正小标宋简体" w:eastAsia="方正小标宋简体" w:cs="方正小标宋简体"/>
          <w:bCs/>
          <w:kern w:val="44"/>
          <w:sz w:val="44"/>
        </w:rPr>
        <w:t>贵州省养老服务产业发展基金管理人申请书</w:t>
      </w:r>
    </w:p>
    <w:p>
      <w:pPr>
        <w:pStyle w:val="15"/>
        <w:widowControl w:val="0"/>
        <w:overflowPunct w:val="0"/>
        <w:spacing w:before="0" w:beforeAutospacing="0" w:after="0" w:afterAutospacing="0" w:line="560" w:lineRule="exact"/>
        <w:jc w:val="right"/>
        <w:outlineLvl w:val="1"/>
        <w:rPr>
          <w:rFonts w:hint="eastAsia" w:ascii="仿宋_GB2312" w:eastAsia="仿宋_GB2312" w:cs="仿宋_GB2312"/>
          <w:color w:val="000000"/>
          <w:szCs w:val="24"/>
        </w:rPr>
      </w:pPr>
      <w:bookmarkStart w:id="4" w:name="_Toc20658_WPSOffice_Level1"/>
      <w:r>
        <w:rPr>
          <w:rFonts w:hint="eastAsia" w:ascii="仿宋_GB2312" w:eastAsia="仿宋_GB2312" w:cs="仿宋_GB2312"/>
          <w:color w:val="000000"/>
          <w:szCs w:val="24"/>
          <w:shd w:val="clear" w:color="auto" w:fill="FFFFFF"/>
        </w:rPr>
        <w:t>（公章）</w:t>
      </w:r>
      <w:bookmarkEnd w:id="4"/>
    </w:p>
    <w:tbl>
      <w:tblPr>
        <w:tblStyle w:val="10"/>
        <w:tblW w:w="9500" w:type="dxa"/>
        <w:jc w:val="center"/>
        <w:shd w:val="clear" w:color="auto" w:fill="FFFFFF"/>
        <w:tblLayout w:type="fixed"/>
        <w:tblCellMar>
          <w:top w:w="15" w:type="dxa"/>
          <w:left w:w="15" w:type="dxa"/>
          <w:bottom w:w="15" w:type="dxa"/>
          <w:right w:w="15" w:type="dxa"/>
        </w:tblCellMar>
      </w:tblPr>
      <w:tblGrid>
        <w:gridCol w:w="1234"/>
        <w:gridCol w:w="1866"/>
        <w:gridCol w:w="920"/>
        <w:gridCol w:w="4070"/>
        <w:gridCol w:w="1410"/>
      </w:tblGrid>
      <w:tr>
        <w:tblPrEx>
          <w:shd w:val="clear" w:color="auto" w:fill="FFFFFF"/>
          <w:tblCellMar>
            <w:top w:w="15" w:type="dxa"/>
            <w:left w:w="15" w:type="dxa"/>
            <w:bottom w:w="15" w:type="dxa"/>
            <w:right w:w="15" w:type="dxa"/>
          </w:tblCellMar>
        </w:tblPrEx>
        <w:trPr>
          <w:trHeight w:val="529" w:hRule="atLeast"/>
          <w:jc w:val="center"/>
        </w:trPr>
        <w:tc>
          <w:tcPr>
            <w:tcW w:w="9500" w:type="dxa"/>
            <w:gridSpan w:val="5"/>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5"/>
              <w:keepNext/>
              <w:widowControl w:val="0"/>
              <w:wordWrap w:val="0"/>
              <w:spacing w:before="0" w:beforeAutospacing="0" w:after="0" w:afterAutospacing="0" w:line="560" w:lineRule="exact"/>
              <w:jc w:val="center"/>
              <w:rPr>
                <w:rFonts w:eastAsia="黑体"/>
                <w:color w:val="000000"/>
              </w:rPr>
            </w:pPr>
            <w:r>
              <w:rPr>
                <w:rStyle w:val="12"/>
                <w:rFonts w:hint="eastAsia" w:ascii="黑体" w:eastAsia="黑体" w:cs="黑体"/>
                <w:b w:val="0"/>
                <w:color w:val="000000"/>
                <w:sz w:val="28"/>
                <w:szCs w:val="28"/>
              </w:rPr>
              <w:t>一、申报人基本信息表</w:t>
            </w:r>
          </w:p>
        </w:tc>
      </w:tr>
      <w:tr>
        <w:tblPrEx>
          <w:tblCellMar>
            <w:top w:w="15" w:type="dxa"/>
            <w:left w:w="15" w:type="dxa"/>
            <w:bottom w:w="15" w:type="dxa"/>
            <w:right w:w="15" w:type="dxa"/>
          </w:tblCellMar>
        </w:tblPrEx>
        <w:trPr>
          <w:trHeight w:val="529" w:hRule="atLeast"/>
          <w:jc w:val="center"/>
        </w:trPr>
        <w:tc>
          <w:tcPr>
            <w:tcW w:w="3100" w:type="dxa"/>
            <w:gridSpan w:val="2"/>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机构名称</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法定代表人/执行事务合伙人</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00" w:type="dxa"/>
            <w:gridSpan w:val="2"/>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注册地址</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组织机构代码</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00" w:type="dxa"/>
            <w:gridSpan w:val="2"/>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管理人登记备案号</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在岗职工人数</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00" w:type="dxa"/>
            <w:gridSpan w:val="2"/>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注册资本/认缴出资总额</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万元</w:t>
            </w: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实缴资本</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00" w:type="dxa"/>
            <w:gridSpan w:val="2"/>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管理基金认缴规模</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亿元</w:t>
            </w: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管理基金实缴规模</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亿元</w:t>
            </w:r>
          </w:p>
        </w:tc>
      </w:tr>
      <w:tr>
        <w:tblPrEx>
          <w:shd w:val="clear" w:color="auto" w:fill="FFFFFF"/>
          <w:tblCellMar>
            <w:top w:w="15" w:type="dxa"/>
            <w:left w:w="15" w:type="dxa"/>
            <w:bottom w:w="15" w:type="dxa"/>
            <w:right w:w="15" w:type="dxa"/>
          </w:tblCellMar>
        </w:tblPrEx>
        <w:trPr>
          <w:trHeight w:val="570" w:hRule="atLeast"/>
          <w:jc w:val="center"/>
        </w:trPr>
        <w:tc>
          <w:tcPr>
            <w:tcW w:w="3100" w:type="dxa"/>
            <w:gridSpan w:val="2"/>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在投项目数</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在投项目金额</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亿元</w:t>
            </w:r>
          </w:p>
        </w:tc>
      </w:tr>
      <w:tr>
        <w:tblPrEx>
          <w:tblCellMar>
            <w:top w:w="15" w:type="dxa"/>
            <w:left w:w="15" w:type="dxa"/>
            <w:bottom w:w="15" w:type="dxa"/>
            <w:right w:w="15" w:type="dxa"/>
          </w:tblCellMar>
        </w:tblPrEx>
        <w:trPr>
          <w:trHeight w:val="529" w:hRule="atLeast"/>
          <w:jc w:val="center"/>
        </w:trPr>
        <w:tc>
          <w:tcPr>
            <w:tcW w:w="1234" w:type="dxa"/>
            <w:vMerge w:val="restart"/>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联系人</w:t>
            </w:r>
          </w:p>
        </w:tc>
        <w:tc>
          <w:tcPr>
            <w:tcW w:w="1866"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姓名</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职务</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1234" w:type="dxa"/>
            <w:vMerge w:val="continue"/>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tc>
        <w:tc>
          <w:tcPr>
            <w:tcW w:w="1866"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办公电话</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手机</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1234" w:type="dxa"/>
            <w:vMerge w:val="continue"/>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tc>
        <w:tc>
          <w:tcPr>
            <w:tcW w:w="1866"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传真</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电子邮箱</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1234" w:type="dxa"/>
            <w:vMerge w:val="continue"/>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tc>
        <w:tc>
          <w:tcPr>
            <w:tcW w:w="1866"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通信地址</w:t>
            </w:r>
          </w:p>
        </w:tc>
        <w:tc>
          <w:tcPr>
            <w:tcW w:w="92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c>
          <w:tcPr>
            <w:tcW w:w="407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r>
              <w:rPr>
                <w:rFonts w:hint="eastAsia" w:ascii="仿宋_GB2312" w:eastAsia="仿宋_GB2312" w:cs="仿宋_GB2312"/>
                <w:bCs/>
                <w:sz w:val="28"/>
                <w:szCs w:val="28"/>
              </w:rPr>
              <w:t>邮政编码</w:t>
            </w:r>
          </w:p>
        </w:tc>
        <w:tc>
          <w:tcPr>
            <w:tcW w:w="1410" w:type="dxa"/>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60" w:lineRule="exact"/>
              <w:ind w:firstLine="0" w:firstLineChars="0"/>
              <w:jc w:val="center"/>
              <w:rPr>
                <w:rFonts w:hint="eastAsia" w:ascii="仿宋_GB2312" w:eastAsia="仿宋_GB2312" w:cs="仿宋_GB2312"/>
                <w:bCs/>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500" w:type="dxa"/>
            <w:gridSpan w:val="5"/>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00" w:lineRule="exact"/>
              <w:ind w:firstLine="562"/>
              <w:jc w:val="center"/>
              <w:rPr>
                <w:rFonts w:ascii="仿宋_GB2312" w:eastAsia="黑体" w:cs="仿宋_GB2312"/>
                <w:sz w:val="22"/>
                <w:szCs w:val="28"/>
              </w:rPr>
            </w:pPr>
            <w:r>
              <w:rPr>
                <w:rStyle w:val="12"/>
                <w:rFonts w:hint="eastAsia" w:ascii="黑体" w:hAnsi="Times New Roman" w:eastAsia="黑体"/>
                <w:color w:val="000000"/>
                <w:kern w:val="0"/>
                <w:sz w:val="28"/>
                <w:szCs w:val="28"/>
              </w:rPr>
              <w:t>二、申报人简介及管理团队</w:t>
            </w:r>
          </w:p>
        </w:tc>
      </w:tr>
      <w:tr>
        <w:tblPrEx>
          <w:shd w:val="clear" w:color="auto" w:fill="FFFFFF"/>
          <w:tblCellMar>
            <w:top w:w="15" w:type="dxa"/>
            <w:left w:w="15" w:type="dxa"/>
            <w:bottom w:w="15" w:type="dxa"/>
            <w:right w:w="15" w:type="dxa"/>
          </w:tblCellMar>
        </w:tblPrEx>
        <w:trPr>
          <w:trHeight w:val="543" w:hRule="atLeast"/>
          <w:jc w:val="center"/>
        </w:trPr>
        <w:tc>
          <w:tcPr>
            <w:tcW w:w="9500" w:type="dxa"/>
            <w:gridSpan w:val="5"/>
            <w:tcBorders>
              <w:top w:val="single" w:color="444444" w:sz="4" w:space="0"/>
              <w:left w:val="single" w:color="444444" w:sz="4" w:space="0"/>
              <w:bottom w:val="single" w:color="444444" w:sz="4" w:space="0"/>
              <w:right w:val="single" w:color="444444" w:sz="4" w:space="0"/>
            </w:tcBorders>
            <w:shd w:val="clear" w:color="auto" w:fill="FFFFFF"/>
            <w:noWrap w:val="0"/>
            <w:tcMar>
              <w:top w:w="0" w:type="dxa"/>
              <w:left w:w="0" w:type="dxa"/>
              <w:bottom w:w="0" w:type="dxa"/>
              <w:right w:w="0" w:type="dxa"/>
            </w:tcMar>
            <w:vAlign w:val="center"/>
          </w:tcPr>
          <w:p>
            <w:pPr>
              <w:pStyle w:val="16"/>
              <w:keepNext/>
              <w:spacing w:line="500" w:lineRule="exact"/>
              <w:ind w:firstLine="0" w:firstLineChars="0"/>
              <w:rPr>
                <w:rFonts w:hint="eastAsia" w:ascii="仿宋_GB2312" w:eastAsia="仿宋_GB2312" w:cs="仿宋_GB2312"/>
                <w:bCs/>
                <w:sz w:val="28"/>
                <w:szCs w:val="28"/>
              </w:rPr>
            </w:pPr>
            <w:r>
              <w:rPr>
                <w:rFonts w:hint="eastAsia" w:ascii="仿宋_GB2312" w:eastAsia="仿宋_GB2312" w:cs="仿宋_GB2312"/>
                <w:bCs/>
                <w:sz w:val="28"/>
                <w:szCs w:val="28"/>
              </w:rPr>
              <w:t>（一）专项投资基金申报人简介</w:t>
            </w:r>
          </w:p>
          <w:p>
            <w:pPr>
              <w:pStyle w:val="16"/>
              <w:keepNext/>
              <w:spacing w:line="500" w:lineRule="exact"/>
              <w:ind w:firstLine="560"/>
              <w:rPr>
                <w:rFonts w:hint="eastAsia" w:ascii="仿宋_GB2312" w:eastAsia="仿宋_GB2312" w:cs="仿宋_GB2312"/>
                <w:bCs/>
                <w:sz w:val="28"/>
                <w:szCs w:val="28"/>
              </w:rPr>
            </w:pPr>
            <w:r>
              <w:rPr>
                <w:rFonts w:hint="eastAsia" w:ascii="仿宋_GB2312" w:eastAsia="仿宋_GB2312" w:cs="仿宋_GB2312"/>
                <w:bCs/>
                <w:sz w:val="28"/>
                <w:szCs w:val="28"/>
              </w:rPr>
              <w:t>包括：历史沿革、股东或出资人构成、组织管理结构、分支机构、主营业务、业绩情况、资质荣誉、专业领域经验和能力等，专业领域是指产业投资基金、创业投资基金等领域。</w:t>
            </w:r>
          </w:p>
          <w:p>
            <w:pPr>
              <w:keepNext/>
              <w:spacing w:line="500" w:lineRule="exact"/>
              <w:rPr>
                <w:rFonts w:hint="eastAsia" w:ascii="仿宋_GB2312" w:eastAsia="仿宋_GB2312" w:cs="仿宋_GB2312"/>
                <w:bCs/>
                <w:sz w:val="28"/>
                <w:szCs w:val="28"/>
              </w:rPr>
            </w:pPr>
            <w:r>
              <w:rPr>
                <w:rFonts w:hint="eastAsia" w:ascii="仿宋_GB2312" w:eastAsia="仿宋_GB2312" w:cs="仿宋_GB2312"/>
                <w:bCs/>
                <w:sz w:val="28"/>
                <w:szCs w:val="28"/>
              </w:rPr>
              <w:t>（二）管理团队核心成员</w:t>
            </w:r>
          </w:p>
          <w:p>
            <w:pPr>
              <w:pStyle w:val="16"/>
              <w:keepNext/>
              <w:spacing w:line="500" w:lineRule="exact"/>
              <w:ind w:firstLine="560"/>
              <w:rPr>
                <w:rFonts w:hint="eastAsia" w:ascii="仿宋_GB2312" w:eastAsia="仿宋_GB2312" w:cs="仿宋_GB2312"/>
                <w:bCs/>
                <w:sz w:val="28"/>
                <w:szCs w:val="28"/>
              </w:rPr>
            </w:pPr>
            <w:r>
              <w:rPr>
                <w:rFonts w:hint="eastAsia" w:ascii="仿宋_GB2312" w:eastAsia="仿宋_GB2312" w:cs="仿宋_GB2312"/>
                <w:bCs/>
                <w:sz w:val="28"/>
                <w:szCs w:val="28"/>
              </w:rPr>
              <w:t>管理团队核心成员指申报人</w:t>
            </w:r>
            <w:r>
              <w:rPr>
                <w:rFonts w:hint="eastAsia" w:ascii="仿宋_GB2312" w:eastAsia="仿宋_GB2312" w:cs="仿宋_GB2312"/>
                <w:bCs/>
                <w:sz w:val="28"/>
                <w:szCs w:val="28"/>
                <w:lang w:val="en-US" w:eastAsia="zh-CN"/>
              </w:rPr>
              <w:t>的</w:t>
            </w:r>
            <w:r>
              <w:rPr>
                <w:rFonts w:hint="eastAsia" w:ascii="仿宋_GB2312" w:eastAsia="仿宋_GB2312" w:cs="仿宋_GB2312"/>
                <w:bCs/>
                <w:sz w:val="28"/>
                <w:szCs w:val="28"/>
              </w:rPr>
              <w:t>高级管理人员</w:t>
            </w:r>
            <w:r>
              <w:rPr>
                <w:rFonts w:hint="eastAsia" w:ascii="仿宋_GB2312" w:eastAsia="仿宋_GB2312" w:cs="仿宋_GB2312"/>
                <w:bCs/>
                <w:sz w:val="28"/>
                <w:szCs w:val="28"/>
                <w:lang w:val="en-US" w:eastAsia="zh-CN"/>
              </w:rPr>
              <w:t>具有</w:t>
            </w:r>
            <w:r>
              <w:rPr>
                <w:rFonts w:hint="eastAsia" w:ascii="仿宋_GB2312" w:eastAsia="仿宋_GB2312" w:cs="仿宋_GB2312"/>
                <w:bCs/>
                <w:sz w:val="28"/>
                <w:szCs w:val="28"/>
              </w:rPr>
              <w:t>大学及以上学习工作经历，</w:t>
            </w:r>
            <w:r>
              <w:rPr>
                <w:rFonts w:hint="eastAsia" w:ascii="仿宋_GB2312" w:eastAsia="仿宋_GB2312" w:cs="仿宋_GB2312"/>
                <w:bCs/>
                <w:sz w:val="28"/>
                <w:szCs w:val="28"/>
                <w:lang w:val="en-US" w:eastAsia="zh-CN"/>
              </w:rPr>
              <w:t>具有</w:t>
            </w:r>
            <w:r>
              <w:rPr>
                <w:rFonts w:hint="eastAsia" w:ascii="仿宋_GB2312" w:eastAsia="仿宋_GB2312" w:cs="仿宋_GB2312"/>
                <w:bCs/>
                <w:sz w:val="28"/>
                <w:szCs w:val="28"/>
              </w:rPr>
              <w:t>专业领域的经验或专长，资质荣耀等。至少</w:t>
            </w:r>
            <w:r>
              <w:rPr>
                <w:rFonts w:hint="eastAsia" w:ascii="Times New Roman" w:hAnsi="Times New Roman" w:eastAsia="仿宋_GB2312" w:cs="Times New Roman"/>
                <w:color w:val="0C0C0C"/>
                <w:sz w:val="28"/>
                <w:szCs w:val="28"/>
              </w:rPr>
              <w:t>3</w:t>
            </w:r>
            <w:r>
              <w:rPr>
                <w:rFonts w:hint="eastAsia" w:ascii="仿宋_GB2312" w:eastAsia="仿宋_GB2312" w:cs="仿宋_GB2312"/>
                <w:bCs/>
                <w:sz w:val="28"/>
                <w:szCs w:val="28"/>
              </w:rPr>
              <w:t>名具备5年以上投资或相关业务经验的专职高级管理人员基本信息、从业经历。管理团队成员在企业中的管理分工。</w:t>
            </w:r>
          </w:p>
          <w:p>
            <w:pPr>
              <w:keepNext/>
              <w:spacing w:line="500" w:lineRule="exact"/>
              <w:rPr>
                <w:rFonts w:hint="eastAsia" w:ascii="仿宋_GB2312" w:eastAsia="仿宋_GB2312" w:cs="仿宋_GB2312"/>
                <w:bCs/>
                <w:sz w:val="28"/>
                <w:szCs w:val="28"/>
              </w:rPr>
            </w:pPr>
            <w:r>
              <w:rPr>
                <w:rFonts w:hint="eastAsia" w:ascii="仿宋_GB2312" w:eastAsia="仿宋_GB2312" w:cs="仿宋_GB2312"/>
                <w:bCs/>
                <w:sz w:val="28"/>
                <w:szCs w:val="28"/>
              </w:rPr>
              <w:t>（三）管理团队投资业绩</w:t>
            </w:r>
          </w:p>
          <w:p>
            <w:pPr>
              <w:pStyle w:val="16"/>
              <w:keepNext/>
              <w:spacing w:line="500" w:lineRule="exact"/>
              <w:ind w:firstLine="560"/>
              <w:rPr>
                <w:rFonts w:hint="eastAsia" w:ascii="仿宋_GB2312" w:eastAsia="仿宋_GB2312" w:cs="仿宋_GB2312"/>
                <w:bCs/>
                <w:sz w:val="28"/>
                <w:szCs w:val="28"/>
              </w:rPr>
            </w:pPr>
            <w:r>
              <w:rPr>
                <w:rFonts w:hint="eastAsia" w:ascii="仿宋_GB2312" w:eastAsia="仿宋_GB2312" w:cs="仿宋_GB2312"/>
                <w:bCs/>
                <w:sz w:val="28"/>
                <w:szCs w:val="28"/>
              </w:rPr>
              <w:t>管理团队管理的其他基金情况</w:t>
            </w:r>
            <w:r>
              <w:rPr>
                <w:rFonts w:hint="eastAsia" w:ascii="仿宋_GB2312" w:eastAsia="仿宋_GB2312" w:cs="仿宋_GB2312"/>
                <w:bCs/>
                <w:sz w:val="28"/>
                <w:szCs w:val="28"/>
                <w:lang w:val="en-US" w:eastAsia="zh-CN"/>
              </w:rPr>
              <w:t>及</w:t>
            </w:r>
            <w:r>
              <w:rPr>
                <w:rFonts w:hint="eastAsia" w:ascii="仿宋_GB2312" w:eastAsia="仿宋_GB2312" w:cs="仿宋_GB2312"/>
                <w:bCs/>
                <w:sz w:val="28"/>
                <w:szCs w:val="28"/>
              </w:rPr>
              <w:t>基金投资项目情况</w:t>
            </w:r>
            <w:r>
              <w:rPr>
                <w:rFonts w:hint="eastAsia" w:ascii="仿宋_GB2312" w:eastAsia="仿宋_GB2312" w:cs="仿宋_GB2312"/>
                <w:bCs/>
                <w:sz w:val="28"/>
                <w:szCs w:val="28"/>
                <w:lang w:eastAsia="zh-CN"/>
              </w:rPr>
              <w:t>（</w:t>
            </w:r>
            <w:r>
              <w:rPr>
                <w:rFonts w:hint="eastAsia" w:ascii="仿宋_GB2312" w:eastAsia="仿宋_GB2312" w:cs="仿宋_GB2312"/>
                <w:bCs/>
                <w:sz w:val="28"/>
                <w:szCs w:val="28"/>
                <w:lang w:eastAsia="zh-CN"/>
              </w:rPr>
              <w:t>至少有1个</w:t>
            </w:r>
            <w:r>
              <w:rPr>
                <w:rFonts w:hint="eastAsia" w:ascii="仿宋_GB2312" w:eastAsia="仿宋_GB2312" w:cs="仿宋_GB2312"/>
                <w:bCs/>
                <w:sz w:val="28"/>
                <w:szCs w:val="28"/>
              </w:rPr>
              <w:t>成功上市</w:t>
            </w:r>
            <w:r>
              <w:rPr>
                <w:rFonts w:hint="eastAsia" w:ascii="仿宋_GB2312" w:eastAsia="仿宋_GB2312" w:cs="仿宋_GB2312"/>
                <w:bCs/>
                <w:sz w:val="28"/>
                <w:szCs w:val="28"/>
                <w:lang w:val="en-US" w:eastAsia="zh-CN"/>
              </w:rPr>
              <w:t>或成功退出</w:t>
            </w:r>
            <w:r>
              <w:rPr>
                <w:rFonts w:hint="eastAsia" w:ascii="仿宋_GB2312" w:eastAsia="仿宋_GB2312" w:cs="仿宋_GB2312"/>
                <w:bCs/>
                <w:sz w:val="28"/>
                <w:szCs w:val="28"/>
              </w:rPr>
              <w:t>的</w:t>
            </w:r>
            <w:r>
              <w:rPr>
                <w:rFonts w:hint="eastAsia" w:ascii="仿宋_GB2312" w:eastAsia="仿宋_GB2312" w:cs="仿宋_GB2312"/>
                <w:bCs/>
                <w:sz w:val="28"/>
                <w:szCs w:val="28"/>
                <w:lang w:eastAsia="zh-CN"/>
              </w:rPr>
              <w:t>案例</w:t>
            </w:r>
            <w:r>
              <w:rPr>
                <w:rFonts w:hint="eastAsia" w:ascii="仿宋_GB2312" w:eastAsia="仿宋_GB2312" w:cs="仿宋_GB2312"/>
                <w:bCs/>
                <w:sz w:val="28"/>
                <w:szCs w:val="28"/>
                <w:lang w:eastAsia="zh-CN"/>
              </w:rPr>
              <w:t>）</w:t>
            </w:r>
            <w:r>
              <w:rPr>
                <w:rFonts w:hint="eastAsia" w:ascii="仿宋_GB2312" w:eastAsia="仿宋_GB2312" w:cs="仿宋_GB2312"/>
                <w:bCs/>
                <w:sz w:val="28"/>
                <w:szCs w:val="28"/>
              </w:rPr>
              <w:t>。</w:t>
            </w:r>
          </w:p>
          <w:p>
            <w:pPr>
              <w:keepNext/>
              <w:spacing w:line="500" w:lineRule="exact"/>
              <w:rPr>
                <w:rFonts w:hint="eastAsia" w:ascii="仿宋_GB2312" w:eastAsia="仿宋_GB2312" w:cs="仿宋_GB2312"/>
                <w:bCs/>
                <w:sz w:val="28"/>
                <w:szCs w:val="28"/>
              </w:rPr>
            </w:pPr>
            <w:r>
              <w:rPr>
                <w:rFonts w:hint="eastAsia" w:ascii="仿宋_GB2312" w:eastAsia="仿宋_GB2312" w:cs="仿宋_GB2312"/>
                <w:bCs/>
                <w:sz w:val="28"/>
                <w:szCs w:val="28"/>
              </w:rPr>
              <w:t>（四）内部管理与决策</w:t>
            </w:r>
          </w:p>
          <w:p>
            <w:pPr>
              <w:pStyle w:val="16"/>
              <w:keepNext/>
              <w:spacing w:line="500" w:lineRule="exact"/>
              <w:ind w:firstLine="560"/>
              <w:rPr>
                <w:rFonts w:hint="eastAsia" w:ascii="仿宋_GB2312" w:eastAsia="仿宋_GB2312" w:cs="仿宋_GB2312"/>
                <w:bCs/>
                <w:sz w:val="28"/>
                <w:szCs w:val="28"/>
              </w:rPr>
            </w:pPr>
            <w:r>
              <w:rPr>
                <w:rFonts w:hint="eastAsia" w:ascii="Times New Roman" w:hAnsi="Times New Roman" w:eastAsia="仿宋_GB2312" w:cs="Times New Roman"/>
                <w:color w:val="0C0C0C"/>
                <w:sz w:val="28"/>
                <w:szCs w:val="28"/>
              </w:rPr>
              <w:t>1</w:t>
            </w:r>
            <w:r>
              <w:rPr>
                <w:rFonts w:hint="eastAsia" w:ascii="仿宋_GB2312" w:eastAsia="仿宋_GB2312" w:cs="仿宋_GB2312"/>
                <w:bCs/>
                <w:sz w:val="28"/>
                <w:szCs w:val="28"/>
              </w:rPr>
              <w:t>．投资管理项目源开发、投资决策流程及方法，风险控制手段、投后管理及增值服务等。</w:t>
            </w:r>
          </w:p>
          <w:p>
            <w:pPr>
              <w:pStyle w:val="16"/>
              <w:keepNext/>
              <w:spacing w:line="500" w:lineRule="exact"/>
              <w:ind w:firstLine="560"/>
              <w:rPr>
                <w:rFonts w:hint="eastAsia" w:ascii="仿宋_GB2312" w:eastAsia="仿宋_GB2312" w:cs="仿宋_GB2312"/>
                <w:bCs/>
                <w:sz w:val="28"/>
                <w:szCs w:val="28"/>
              </w:rPr>
            </w:pPr>
            <w:r>
              <w:rPr>
                <w:rFonts w:hint="eastAsia" w:ascii="Times New Roman" w:hAnsi="Times New Roman" w:eastAsia="仿宋_GB2312" w:cs="Times New Roman"/>
                <w:color w:val="0C0C0C"/>
                <w:sz w:val="28"/>
                <w:szCs w:val="28"/>
                <w:lang w:val="en-US" w:eastAsia="zh-CN"/>
              </w:rPr>
              <w:t>2</w:t>
            </w:r>
            <w:r>
              <w:rPr>
                <w:rFonts w:hint="eastAsia" w:ascii="仿宋_GB2312" w:eastAsia="仿宋_GB2312" w:cs="仿宋_GB2312"/>
                <w:bCs/>
                <w:sz w:val="28"/>
                <w:szCs w:val="28"/>
              </w:rPr>
              <w:t>．激励约束机制。</w:t>
            </w:r>
          </w:p>
          <w:p>
            <w:pPr>
              <w:pStyle w:val="16"/>
              <w:keepNext/>
              <w:spacing w:line="500" w:lineRule="exact"/>
              <w:ind w:left="0" w:leftChars="0" w:firstLine="0" w:firstLineChars="0"/>
              <w:rPr>
                <w:rFonts w:hint="eastAsia" w:ascii="仿宋_GB2312" w:eastAsia="仿宋_GB2312" w:cs="仿宋_GB2312"/>
                <w:bCs/>
                <w:sz w:val="28"/>
                <w:szCs w:val="28"/>
                <w:lang w:eastAsia="zh-CN"/>
              </w:rPr>
            </w:pPr>
            <w:r>
              <w:rPr>
                <w:rFonts w:hint="eastAsia" w:ascii="仿宋_GB2312" w:eastAsia="仿宋_GB2312" w:cs="仿宋_GB2312"/>
                <w:bCs/>
                <w:sz w:val="28"/>
                <w:szCs w:val="28"/>
                <w:lang w:eastAsia="zh-CN"/>
              </w:rPr>
              <w:t>（</w:t>
            </w:r>
            <w:r>
              <w:rPr>
                <w:rFonts w:hint="eastAsia" w:ascii="仿宋_GB2312" w:eastAsia="仿宋_GB2312" w:cs="仿宋_GB2312"/>
                <w:bCs/>
                <w:sz w:val="28"/>
                <w:szCs w:val="28"/>
                <w:lang w:val="en-US" w:eastAsia="zh-CN"/>
              </w:rPr>
              <w:t>五</w:t>
            </w:r>
            <w:r>
              <w:rPr>
                <w:rFonts w:hint="eastAsia" w:ascii="仿宋_GB2312" w:eastAsia="仿宋_GB2312" w:cs="仿宋_GB2312"/>
                <w:bCs/>
                <w:sz w:val="28"/>
                <w:szCs w:val="28"/>
                <w:lang w:eastAsia="zh-CN"/>
              </w:rPr>
              <w:t>）</w:t>
            </w:r>
            <w:r>
              <w:rPr>
                <w:rFonts w:hint="eastAsia" w:ascii="仿宋_GB2312" w:eastAsia="仿宋_GB2312" w:cs="仿宋_GB2312"/>
                <w:bCs/>
                <w:sz w:val="28"/>
                <w:szCs w:val="28"/>
                <w:lang w:val="en-US" w:eastAsia="zh-CN"/>
              </w:rPr>
              <w:t>养老</w:t>
            </w:r>
            <w:r>
              <w:rPr>
                <w:rFonts w:hint="eastAsia" w:ascii="仿宋_GB2312" w:eastAsia="仿宋_GB2312" w:cs="仿宋_GB2312"/>
                <w:bCs/>
                <w:sz w:val="28"/>
                <w:szCs w:val="28"/>
                <w:lang w:eastAsia="zh-CN"/>
              </w:rPr>
              <w:t>基金管理运营方案</w:t>
            </w:r>
          </w:p>
          <w:p>
            <w:pPr>
              <w:pStyle w:val="16"/>
              <w:keepNext/>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_GB2312" w:eastAsia="仿宋_GB2312" w:cs="仿宋_GB2312"/>
                <w:bCs/>
                <w:sz w:val="28"/>
                <w:szCs w:val="28"/>
                <w:lang w:val="en-US" w:eastAsia="zh-CN"/>
              </w:rPr>
            </w:pPr>
            <w:r>
              <w:rPr>
                <w:rFonts w:hint="eastAsia" w:ascii="仿宋_GB2312" w:eastAsia="仿宋_GB2312" w:cs="仿宋_GB2312"/>
                <w:bCs/>
                <w:sz w:val="28"/>
                <w:szCs w:val="28"/>
                <w:lang w:val="en-US" w:eastAsia="zh-CN"/>
              </w:rPr>
              <w:t>养老基金管理运营方案应包括管理团队及人员分工、管理职责、基金投资方向、投资方式、项目投资流程、管理费用、收益分配及退出、风险控制措施等。</w:t>
            </w:r>
          </w:p>
        </w:tc>
      </w:tr>
    </w:tbl>
    <w:p>
      <w:pPr>
        <w:pStyle w:val="14"/>
        <w:wordWrap w:val="0"/>
        <w:overflowPunct w:val="0"/>
        <w:spacing w:line="572" w:lineRule="exact"/>
        <w:ind w:firstLine="0" w:firstLineChars="0"/>
        <w:rPr>
          <w:rFonts w:hint="eastAsia" w:cs="仿宋_GB2312"/>
          <w:bCs/>
          <w:szCs w:val="32"/>
        </w:rPr>
        <w:sectPr>
          <w:footerReference r:id="rId3" w:type="default"/>
          <w:footerReference r:id="rId4" w:type="even"/>
          <w:pgSz w:w="12240" w:h="15840"/>
          <w:pgMar w:top="2098" w:right="1474" w:bottom="1984" w:left="1587" w:header="720" w:footer="720" w:gutter="0"/>
          <w:cols w:space="720" w:num="1"/>
          <w:docGrid w:type="lines" w:linePitch="293" w:charSpace="0"/>
        </w:sectPr>
      </w:pPr>
    </w:p>
    <w:p>
      <w:pPr>
        <w:widowControl/>
        <w:jc w:val="left"/>
        <w:rPr>
          <w:rFonts w:hint="eastAsia" w:ascii="方正仿宋_GB18030" w:hAnsi="方正仿宋_GB18030" w:eastAsia="方正仿宋_GB18030" w:cs="方正仿宋_GB18030"/>
          <w:bCs/>
          <w:sz w:val="32"/>
          <w:szCs w:val="32"/>
          <w:lang w:eastAsia="zh-CN"/>
        </w:rPr>
      </w:pPr>
      <w:r>
        <w:rPr>
          <w:rFonts w:hint="eastAsia" w:ascii="方正仿宋_GB18030" w:hAnsi="方正仿宋_GB18030" w:eastAsia="方正仿宋_GB18030" w:cs="方正仿宋_GB18030"/>
          <w:bCs/>
          <w:sz w:val="32"/>
          <w:szCs w:val="32"/>
        </w:rPr>
        <w:t>附件</w:t>
      </w:r>
      <w:r>
        <w:rPr>
          <w:rFonts w:hint="eastAsia" w:ascii="方正仿宋_GB18030" w:hAnsi="方正仿宋_GB18030" w:eastAsia="方正仿宋_GB18030" w:cs="方正仿宋_GB18030"/>
          <w:bCs/>
          <w:sz w:val="32"/>
          <w:szCs w:val="32"/>
          <w:lang w:val="en-US" w:eastAsia="zh-CN"/>
        </w:rPr>
        <w:t>2</w:t>
      </w:r>
    </w:p>
    <w:p>
      <w:pPr>
        <w:keepNext/>
        <w:wordWrap w:val="0"/>
        <w:spacing w:line="560" w:lineRule="exact"/>
        <w:jc w:val="center"/>
        <w:outlineLvl w:val="0"/>
        <w:rPr>
          <w:rStyle w:val="12"/>
          <w:rFonts w:hint="eastAsia" w:ascii="黑体" w:eastAsia="黑体"/>
          <w:b w:val="0"/>
          <w:color w:val="444444"/>
          <w:kern w:val="0"/>
          <w:sz w:val="32"/>
          <w:szCs w:val="32"/>
          <w:shd w:val="clear" w:color="auto" w:fill="FFFFFF"/>
        </w:rPr>
      </w:pPr>
    </w:p>
    <w:p>
      <w:pPr>
        <w:jc w:val="center"/>
        <w:rPr>
          <w:rFonts w:hint="eastAsia" w:ascii="方正小标宋简体" w:eastAsia="方正小标宋简体" w:cs="方正小标宋简体"/>
          <w:bCs/>
          <w:kern w:val="44"/>
          <w:sz w:val="44"/>
          <w:szCs w:val="22"/>
        </w:rPr>
      </w:pPr>
      <w:r>
        <w:rPr>
          <w:rFonts w:hint="eastAsia" w:ascii="方正小标宋简体" w:eastAsia="方正小标宋简体" w:cs="方正小标宋简体"/>
          <w:bCs/>
          <w:kern w:val="44"/>
          <w:sz w:val="44"/>
          <w:szCs w:val="22"/>
        </w:rPr>
        <w:t>申报人真实性承诺函</w:t>
      </w:r>
    </w:p>
    <w:p>
      <w:pPr>
        <w:keepNext/>
        <w:wordWrap w:val="0"/>
        <w:spacing w:line="560" w:lineRule="exact"/>
        <w:outlineLvl w:val="0"/>
        <w:rPr>
          <w:rStyle w:val="12"/>
          <w:rFonts w:hint="eastAsia" w:ascii="黑体" w:eastAsia="黑体"/>
          <w:b w:val="0"/>
          <w:color w:val="444444"/>
          <w:kern w:val="0"/>
          <w:sz w:val="32"/>
          <w:szCs w:val="32"/>
          <w:shd w:val="clear" w:color="auto" w:fill="FFFFFF"/>
        </w:rPr>
      </w:pPr>
    </w:p>
    <w:p>
      <w:pPr>
        <w:rPr>
          <w:rFonts w:hint="eastAsia" w:ascii="仿宋_GB2312" w:eastAsia="仿宋_GB2312" w:cs="Times New Roman"/>
          <w:sz w:val="32"/>
          <w:szCs w:val="32"/>
        </w:rPr>
      </w:pPr>
      <w:r>
        <w:rPr>
          <w:rFonts w:hint="eastAsia" w:ascii="仿宋_GB2312" w:eastAsia="仿宋_GB2312" w:cs="Times New Roman"/>
          <w:sz w:val="32"/>
          <w:szCs w:val="32"/>
        </w:rPr>
        <w:t>贵州省民政厅：</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本机构就贵州省养老服务产业发展基金申请设立、备案等相关事宜，作出以下说明和承诺：</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本机构声明已充分知悉理解本通知及基金相关的法律、法规、管理办法等文件的规定，承诺本机构和贵州省养老服务产业发展基金申请方案符合前述文件规定的要求；本机构将继续遵守前述文件的规定，并承诺自贵州省养老服务产业发展基金设立之日起，将完全按照相关文件规定及协议约定管理基金事务。</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二、本机构为依法设立并有效存续的（有限责任公司、股份有限公司、合伙企业、事业单位或其他）法律主体，不存在相关法律法规规定的终止事由。</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三、本机构自愿承担贵州省养老服务产业发展基金的募资工作，承诺自养老基金投资决策通过后</w:t>
      </w:r>
      <w:r>
        <w:rPr>
          <w:rFonts w:hint="eastAsia" w:ascii="Times New Roman" w:hAnsi="Times New Roman" w:eastAsia="仿宋_GB2312" w:cs="Times New Roman"/>
          <w:sz w:val="32"/>
          <w:szCs w:val="32"/>
        </w:rPr>
        <w:t>1</w:t>
      </w:r>
      <w:r>
        <w:rPr>
          <w:rFonts w:hint="eastAsia" w:ascii="仿宋_GB2312" w:eastAsia="仿宋_GB2312" w:cs="Times New Roman"/>
          <w:sz w:val="32"/>
          <w:szCs w:val="32"/>
        </w:rPr>
        <w:t>个月内完成基金合伙协议（或公司章程）的签署工作；如贵州省养老服务产业发展基金未在上述期限内完成合伙协议（或公司章程）的签署工作</w:t>
      </w:r>
      <w:r>
        <w:rPr>
          <w:rFonts w:hint="eastAsia" w:ascii="仿宋_GB2312" w:eastAsia="仿宋_GB2312" w:cs="Times New Roman"/>
          <w:sz w:val="32"/>
          <w:szCs w:val="32"/>
          <w:lang/>
        </w:rPr>
        <w:t>或募集行为违规违法</w:t>
      </w:r>
      <w:r>
        <w:rPr>
          <w:rFonts w:hint="eastAsia" w:ascii="仿宋_GB2312" w:eastAsia="仿宋_GB2312" w:cs="Times New Roman"/>
          <w:sz w:val="32"/>
          <w:szCs w:val="32"/>
        </w:rPr>
        <w:t>，本机构承担期间产生的损失和相应法律责任。</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四、本机构相关人员提供的关于本机构、基金投资人、贵州省养老服务产业发展基金申请方案等全部资料和信息（包括但不限于基金申请材料及有关陈述、保证、声明、确认等）均是真实、准确和完整的，不存在虚假记载、误导性陈述和重大遗漏，且全部资料和信息的复印件（或电子件）均与原件完全一致。</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六、如上述说明和承诺情况存在任何虚假或隐瞒，本机构将承担由此而产生的一切法律责任。同时，如贵司在贵州省养老服务产业发展基金设立后发现上述说明和承诺情况存在任何虚假或隐瞒，本机构愿承担由此而产生的包括但不限于以下法律责任：</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（1）向养老基金承担相应法律责任并赔偿由此对养老基金造成的全部损失；</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（2）依据养老基金《合伙协议</w:t>
      </w:r>
      <w:r>
        <w:rPr>
          <w:rFonts w:hint="eastAsia" w:ascii="仿宋_GB2312" w:eastAsia="仿宋_GB2312" w:cs="Times New Roman"/>
          <w:sz w:val="32"/>
          <w:szCs w:val="32"/>
          <w:lang w:eastAsia="zh-CN"/>
        </w:rPr>
        <w:t>》《</w:t>
      </w:r>
      <w:r>
        <w:rPr>
          <w:rFonts w:hint="eastAsia" w:ascii="仿宋_GB2312" w:eastAsia="仿宋_GB2312" w:cs="Times New Roman"/>
          <w:sz w:val="32"/>
          <w:szCs w:val="32"/>
        </w:rPr>
        <w:t>公司章程</w:t>
      </w:r>
      <w:r>
        <w:rPr>
          <w:rFonts w:hint="eastAsia" w:ascii="仿宋_GB2312" w:eastAsia="仿宋_GB2312" w:cs="Times New Roman"/>
          <w:sz w:val="32"/>
          <w:szCs w:val="32"/>
          <w:lang w:eastAsia="zh-CN"/>
        </w:rPr>
        <w:t>》《</w:t>
      </w:r>
      <w:r>
        <w:rPr>
          <w:rFonts w:hint="eastAsia" w:ascii="仿宋_GB2312" w:eastAsia="仿宋_GB2312" w:cs="Times New Roman"/>
          <w:sz w:val="32"/>
          <w:szCs w:val="32"/>
        </w:rPr>
        <w:t>委托管理协议》等规定承担相应的法律责任；</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（3）承担其他与此相关的法律责任。</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特此承诺。</w:t>
      </w:r>
    </w:p>
    <w:p>
      <w:pPr>
        <w:ind w:left="4160" w:hanging="4160" w:hangingChars="1300"/>
        <w:rPr>
          <w:rFonts w:hint="eastAsia" w:ascii="仿宋_GB2312" w:eastAsia="仿宋_GB2312" w:cs="Times New Roman"/>
          <w:sz w:val="32"/>
          <w:szCs w:val="32"/>
        </w:rPr>
      </w:pPr>
      <w:r>
        <w:rPr>
          <w:rFonts w:hint="eastAsia" w:ascii="仿宋_GB2312" w:eastAsia="仿宋_GB2312" w:cs="Times New Roman"/>
          <w:sz w:val="32"/>
          <w:szCs w:val="32"/>
        </w:rPr>
        <w:t xml:space="preserve">                                                     承诺人（公章、骑缝章）：</w:t>
      </w:r>
    </w:p>
    <w:p>
      <w:pPr>
        <w:rPr>
          <w:rFonts w:hint="eastAsia" w:ascii="仿宋_GB2312" w:eastAsia="仿宋_GB2312" w:cs="Times New Roman"/>
          <w:sz w:val="32"/>
          <w:szCs w:val="32"/>
        </w:rPr>
      </w:pPr>
    </w:p>
    <w:p>
      <w:pPr>
        <w:rPr>
          <w:rFonts w:hint="eastAsia" w:ascii="仿宋_GB2312" w:eastAsia="仿宋_GB2312" w:cs="Times New Roman"/>
          <w:sz w:val="32"/>
          <w:szCs w:val="32"/>
        </w:rPr>
      </w:pPr>
      <w:r>
        <w:rPr>
          <w:rFonts w:hint="eastAsia" w:ascii="仿宋_GB2312" w:eastAsia="仿宋_GB2312" w:cs="Times New Roman"/>
          <w:sz w:val="32"/>
          <w:szCs w:val="32"/>
        </w:rPr>
        <w:t xml:space="preserve">                    法定代表人/执行事务合伙人（签字）：</w:t>
      </w:r>
    </w:p>
    <w:p>
      <w:pPr>
        <w:rPr>
          <w:rFonts w:hint="eastAsia" w:ascii="仿宋_GB2312" w:eastAsia="仿宋_GB2312" w:cs="Times New Roman"/>
          <w:sz w:val="32"/>
          <w:szCs w:val="32"/>
        </w:rPr>
      </w:pPr>
      <w:r>
        <w:rPr>
          <w:rFonts w:hint="eastAsia" w:ascii="仿宋_GB2312" w:eastAsia="仿宋_GB2312" w:cs="Times New Roman"/>
          <w:sz w:val="32"/>
          <w:szCs w:val="32"/>
        </w:rPr>
        <w:t xml:space="preserve">                            日期：   年   月   日</w:t>
      </w:r>
    </w:p>
    <w:p>
      <w:pPr>
        <w:keepNext/>
        <w:spacing w:line="560" w:lineRule="exact"/>
        <w:jc w:val="left"/>
        <w:rPr>
          <w:rFonts w:hint="eastAsia" w:ascii="方正仿宋_GB18030" w:hAnsi="方正仿宋_GB18030" w:eastAsia="方正仿宋_GB18030" w:cs="方正仿宋_GB18030"/>
          <w:bCs/>
          <w:sz w:val="32"/>
          <w:szCs w:val="32"/>
          <w:lang w:eastAsia="zh-CN"/>
        </w:rPr>
      </w:pPr>
      <w:r>
        <w:rPr>
          <w:rStyle w:val="12"/>
          <w:rFonts w:hint="eastAsia" w:ascii="黑体" w:eastAsia="黑体"/>
          <w:b w:val="0"/>
          <w:color w:val="000000"/>
          <w:sz w:val="32"/>
          <w:szCs w:val="32"/>
          <w:shd w:val="clear" w:color="auto" w:fill="FFFFFF"/>
        </w:rPr>
        <w:br w:type="page"/>
      </w:r>
      <w:r>
        <w:rPr>
          <w:rFonts w:hint="eastAsia" w:ascii="方正仿宋_GB18030" w:hAnsi="方正仿宋_GB18030" w:eastAsia="方正仿宋_GB18030" w:cs="方正仿宋_GB18030"/>
          <w:bCs/>
          <w:sz w:val="32"/>
          <w:szCs w:val="32"/>
        </w:rPr>
        <w:t>附件</w:t>
      </w:r>
      <w:bookmarkStart w:id="5" w:name="_GoBack"/>
      <w:bookmarkEnd w:id="5"/>
      <w:bookmarkStart w:id="6" w:name="_Toc32095_WPSOffice_Level1"/>
      <w:r>
        <w:rPr>
          <w:rFonts w:hint="eastAsia" w:ascii="方正仿宋_GB18030" w:hAnsi="方正仿宋_GB18030" w:eastAsia="方正仿宋_GB18030" w:cs="方正仿宋_GB18030"/>
          <w:bCs/>
          <w:sz w:val="32"/>
          <w:szCs w:val="32"/>
          <w:lang w:val="en-US" w:eastAsia="zh-CN"/>
        </w:rPr>
        <w:t>3</w:t>
      </w:r>
    </w:p>
    <w:bookmarkEnd w:id="6"/>
    <w:p>
      <w:pPr>
        <w:jc w:val="center"/>
        <w:rPr>
          <w:rFonts w:hint="eastAsia" w:ascii="方正小标宋简体" w:eastAsia="方正小标宋简体" w:cs="方正小标宋简体"/>
          <w:bCs/>
          <w:kern w:val="44"/>
          <w:sz w:val="44"/>
          <w:szCs w:val="22"/>
        </w:rPr>
      </w:pPr>
      <w:r>
        <w:rPr>
          <w:rFonts w:hint="eastAsia" w:ascii="方正小标宋简体" w:eastAsia="方正小标宋简体" w:cs="方正小标宋简体"/>
          <w:bCs/>
          <w:kern w:val="44"/>
          <w:sz w:val="44"/>
          <w:szCs w:val="22"/>
        </w:rPr>
        <w:t>需提供相关材料的清单</w:t>
      </w:r>
    </w:p>
    <w:p>
      <w:pPr>
        <w:pStyle w:val="15"/>
        <w:keepNext/>
        <w:widowControl w:val="0"/>
        <w:wordWrap w:val="0"/>
        <w:spacing w:before="0" w:beforeAutospacing="0" w:after="0" w:afterAutospacing="0" w:line="560" w:lineRule="exact"/>
        <w:rPr>
          <w:rStyle w:val="12"/>
          <w:rFonts w:hint="eastAsia" w:ascii="黑体" w:eastAsia="黑体" w:cs="黑体"/>
          <w:b w:val="0"/>
          <w:color w:val="000000"/>
          <w:sz w:val="30"/>
          <w:szCs w:val="30"/>
          <w:shd w:val="clear" w:color="auto" w:fill="FFFFFF"/>
        </w:rPr>
      </w:pPr>
    </w:p>
    <w:p>
      <w:pPr>
        <w:ind w:firstLine="600" w:firstLineChars="200"/>
        <w:rPr>
          <w:rStyle w:val="12"/>
          <w:rFonts w:hint="eastAsia" w:ascii="黑体" w:eastAsia="黑体"/>
          <w:b w:val="0"/>
          <w:color w:val="000000"/>
          <w:sz w:val="30"/>
          <w:szCs w:val="30"/>
          <w:shd w:val="clear" w:color="auto" w:fill="FFFFFF"/>
        </w:rPr>
      </w:pPr>
      <w:bookmarkStart w:id="7" w:name="_Toc25675_WPSOffice_Level1"/>
      <w:r>
        <w:rPr>
          <w:rStyle w:val="12"/>
          <w:rFonts w:hint="eastAsia" w:ascii="黑体" w:eastAsia="黑体"/>
          <w:b w:val="0"/>
          <w:color w:val="000000"/>
          <w:sz w:val="30"/>
          <w:szCs w:val="30"/>
          <w:shd w:val="clear" w:color="auto" w:fill="FFFFFF"/>
        </w:rPr>
        <w:t>一、</w:t>
      </w:r>
      <w:bookmarkEnd w:id="7"/>
      <w:bookmarkStart w:id="8" w:name="_Toc9177_WPSOffice_Level1"/>
      <w:r>
        <w:rPr>
          <w:rStyle w:val="12"/>
          <w:rFonts w:hint="eastAsia" w:ascii="黑体" w:eastAsia="黑体"/>
          <w:b w:val="0"/>
          <w:color w:val="000000"/>
          <w:sz w:val="30"/>
          <w:szCs w:val="30"/>
          <w:shd w:val="clear" w:color="auto" w:fill="FFFFFF"/>
        </w:rPr>
        <w:t>申报人应提交的材料</w:t>
      </w:r>
      <w:bookmarkEnd w:id="8"/>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rPr>
        <w:t>1</w:t>
      </w:r>
      <w:r>
        <w:rPr>
          <w:rFonts w:hint="eastAsia" w:ascii="仿宋_GB2312" w:eastAsia="仿宋_GB2312" w:cs="Times New Roman"/>
          <w:sz w:val="32"/>
          <w:szCs w:val="32"/>
        </w:rPr>
        <w:t>．营业执照；</w:t>
      </w:r>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eastAsia="仿宋_GB2312" w:cs="Times New Roman"/>
          <w:sz w:val="32"/>
          <w:szCs w:val="32"/>
        </w:rPr>
        <w:t>．合伙协议（或公司章程）；</w:t>
      </w:r>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rPr>
        <w:t>3</w:t>
      </w:r>
      <w:r>
        <w:rPr>
          <w:rFonts w:hint="eastAsia" w:ascii="仿宋_GB2312" w:eastAsia="仿宋_GB2312" w:cs="Times New Roman"/>
          <w:sz w:val="32"/>
          <w:szCs w:val="32"/>
        </w:rPr>
        <w:t>．登记备案证明；</w:t>
      </w:r>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rPr>
        <w:t>4</w:t>
      </w:r>
      <w:r>
        <w:rPr>
          <w:rFonts w:hint="eastAsia" w:ascii="仿宋_GB2312" w:eastAsia="仿宋_GB2312" w:cs="Times New Roman"/>
          <w:sz w:val="32"/>
          <w:szCs w:val="32"/>
        </w:rPr>
        <w:t>．实缴出资证明材料；</w:t>
      </w:r>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rPr>
        <w:t>5</w:t>
      </w:r>
      <w:r>
        <w:rPr>
          <w:rFonts w:hint="eastAsia" w:ascii="仿宋_GB2312" w:eastAsia="仿宋_GB2312" w:cs="Times New Roman"/>
          <w:sz w:val="32"/>
          <w:szCs w:val="32"/>
        </w:rPr>
        <w:t>．申报人和在管基金最近三个会计年度及最近一期经审计的财务报告或财务报表；</w:t>
      </w:r>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eastAsia="仿宋_GB2312" w:cs="Times New Roman"/>
          <w:sz w:val="32"/>
          <w:szCs w:val="32"/>
        </w:rPr>
        <w:t>．申报人需根据遴选方案提供其管理团队主要成员以骨干身份共同累计管理基金（实缴规模不低于</w:t>
      </w:r>
      <w:r>
        <w:rPr>
          <w:rFonts w:ascii="Times New Roman" w:hAnsi="Times New Roman" w:eastAsia="仿宋_GB2312" w:cs="Times New Roman"/>
          <w:sz w:val="32"/>
          <w:szCs w:val="32"/>
        </w:rPr>
        <w:t>5</w:t>
      </w:r>
      <w:r>
        <w:rPr>
          <w:rFonts w:hint="eastAsia" w:ascii="仿宋_GB2312" w:eastAsia="仿宋_GB2312" w:cs="Times New Roman"/>
          <w:sz w:val="32"/>
          <w:szCs w:val="32"/>
        </w:rPr>
        <w:t>亿元人民币）和成功上市或成功退出的案例（</w:t>
      </w:r>
      <w:r>
        <w:rPr>
          <w:rFonts w:hint="eastAsia" w:ascii="仿宋_GB2312" w:eastAsia="仿宋_GB2312" w:cs="Times New Roman"/>
          <w:sz w:val="32"/>
          <w:szCs w:val="32"/>
          <w:lang w:val="en-US" w:eastAsia="zh-CN"/>
        </w:rPr>
        <w:t>至少提供1个</w:t>
      </w:r>
      <w:r>
        <w:rPr>
          <w:rFonts w:hint="eastAsia" w:ascii="仿宋_GB2312" w:eastAsia="仿宋_GB2312" w:cs="Times New Roman"/>
          <w:sz w:val="32"/>
          <w:szCs w:val="32"/>
        </w:rPr>
        <w:t>）的证明材料；</w:t>
      </w:r>
    </w:p>
    <w:p>
      <w:pPr>
        <w:ind w:firstLine="640" w:firstLineChars="200"/>
        <w:rPr>
          <w:rFonts w:hint="eastAsia" w:ascii="仿宋_GB2312"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仿宋_GB2312" w:eastAsia="仿宋_GB2312" w:cs="Times New Roman"/>
          <w:sz w:val="32"/>
          <w:szCs w:val="32"/>
        </w:rPr>
        <w:t>．内部治理架构：管理和投资运作规范，具有完整的投资决策程序、全面的风险控制机制和健全的财务管理制度。</w:t>
      </w:r>
    </w:p>
    <w:p>
      <w:pPr>
        <w:pStyle w:val="13"/>
        <w:ind w:left="420" w:firstLine="320" w:firstLineChars="100"/>
      </w:pPr>
      <w:r>
        <w:rPr>
          <w:rFonts w:hint="eastAsia"/>
          <w:szCs w:val="32"/>
          <w:lang w:val="en-US" w:eastAsia="zh-CN"/>
        </w:rPr>
        <w:t>8</w:t>
      </w:r>
      <w:r>
        <w:rPr>
          <w:rFonts w:hint="eastAsia"/>
          <w:szCs w:val="32"/>
        </w:rPr>
        <w:t>.根据遴选方案及遴选指标评分表提供其他相关资料。</w:t>
      </w:r>
    </w:p>
    <w:p>
      <w:pPr>
        <w:pStyle w:val="13"/>
        <w:ind w:left="420"/>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B00002AF" w:usb1="69D77CFB" w:usb2="00000030" w:usb3="00000000" w:csb0="0008009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18030">
    <w:altName w:val="仿宋"/>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5131435</wp:posOffset>
              </wp:positionH>
              <wp:positionV relativeFrom="paragraph">
                <wp:posOffset>-199390</wp:posOffset>
              </wp:positionV>
              <wp:extent cx="444500" cy="230505"/>
              <wp:effectExtent l="0" t="0" r="0" b="0"/>
              <wp:wrapNone/>
              <wp:docPr id="1" name="矩形 1"/>
              <wp:cNvGraphicFramePr/>
              <a:graphic xmlns:a="http://schemas.openxmlformats.org/drawingml/2006/main">
                <a:graphicData uri="http://schemas.microsoft.com/office/word/2010/wordprocessingShape">
                  <wps:wsp>
                    <wps:cNvSpPr/>
                    <wps:spPr>
                      <a:xfrm>
                        <a:off x="0" y="0"/>
                        <a:ext cx="444500" cy="230505"/>
                      </a:xfrm>
                      <a:prstGeom prst="rect">
                        <a:avLst/>
                      </a:prstGeom>
                      <a:noFill/>
                      <a:ln>
                        <a:noFill/>
                      </a:ln>
                    </wps:spPr>
                    <wps:txbx>
                      <w:txbxContent>
                        <w:p>
                          <w:pPr>
                            <w:pStyle w:val="7"/>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left:404.05pt;margin-top:-15.7pt;height:18.15pt;width:35pt;mso-position-horizontal-relative:margin;mso-wrap-style:none;z-index:251659264;mso-width-relative:page;mso-height-relative:page;" filled="f" stroked="f" coordsize="21600,21600" o:gfxdata="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u6XsB1gAAAAkBAAAPAAAAAAAAAAEAIAAAACIAAABkcnMvZG93bnJldi54&#10;bWxQSwECFAAUAAAACACHTuJAIcGlHcMBAACKAwAADgAAAAAAAAABACAAAAAlAQAAZHJzL2Uyb0Rv&#10;Yy54bWxQSwUGAAAAAAYABgBZAQAAWgUAAAAA&#10;">
              <v:fill on="f" focussize="0,0"/>
              <v:stroke on="f"/>
              <v:imagedata o:title=""/>
              <o:lock v:ext="edit" aspectratio="f"/>
              <v:textbox inset="0mm,0mm,0mm,0mm" style="mso-fit-shape-to-text:t;">
                <w:txbxContent>
                  <w:p>
                    <w:pPr>
                      <w:pStyle w:val="7"/>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5080</wp:posOffset>
              </wp:positionH>
              <wp:positionV relativeFrom="paragraph">
                <wp:posOffset>-328930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left:0.4pt;margin-top:-25.9pt;height:144pt;width:144pt;mso-position-horizontal-relative:margin;mso-wrap-style:none;z-index:251660288;mso-width-relative:page;mso-height-relative:page;" filled="f" stroked="f" coordsize="21600,21600" o:gfxdata="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5nzQJ0wAAAAgBAAAPAAAAAAAAAAEAIAAAACIAAABkcnMvZG93bnJl&#10;di54bWxQSwECFAAUAAAACACHTuJA8pfMzMkBAACZAwAADgAAAAAAAAABACAAAAAiAQAAZHJzL2Uy&#10;b0RvYy54bWxQSwUGAAAAAAYABgBZAQAAXQU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41CF5"/>
    <w:multiLevelType w:val="singleLevel"/>
    <w:tmpl w:val="37441CF5"/>
    <w:lvl w:ilvl="0" w:tentative="0">
      <w:start w:val="3"/>
      <w:numFmt w:val="chineseCounting"/>
      <w:suff w:val="nothing"/>
      <w:lvlText w:val="%1、"/>
      <w:lvlJc w:val="left"/>
      <w:rPr>
        <w:rFonts w:hint="eastAsia"/>
      </w:rPr>
    </w:lvl>
  </w:abstractNum>
  <w:abstractNum w:abstractNumId="1">
    <w:nsid w:val="567B66D4"/>
    <w:multiLevelType w:val="singleLevel"/>
    <w:tmpl w:val="567B66D4"/>
    <w:lvl w:ilvl="0" w:tentative="0">
      <w:start w:val="3"/>
      <w:numFmt w:val="chineseCounting"/>
      <w:suff w:val="nothing"/>
      <w:lvlText w:val="（%1）"/>
      <w:lvlJc w:val="left"/>
    </w:lvl>
  </w:abstractNum>
  <w:abstractNum w:abstractNumId="2">
    <w:nsid w:val="61A4E444"/>
    <w:multiLevelType w:val="singleLevel"/>
    <w:tmpl w:val="61A4E444"/>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4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MzMyOThiOTQyYmM5NzYwZTJhMWU1ZDY1NDcyNWUifQ=="/>
  </w:docVars>
  <w:rsids>
    <w:rsidRoot w:val="00172A27"/>
    <w:rsid w:val="00155789"/>
    <w:rsid w:val="0035521F"/>
    <w:rsid w:val="004F2B0A"/>
    <w:rsid w:val="005B285D"/>
    <w:rsid w:val="007509A1"/>
    <w:rsid w:val="00994896"/>
    <w:rsid w:val="00B50434"/>
    <w:rsid w:val="00E471DC"/>
    <w:rsid w:val="01520C93"/>
    <w:rsid w:val="06F710AD"/>
    <w:rsid w:val="072579BD"/>
    <w:rsid w:val="07C6401E"/>
    <w:rsid w:val="086C1753"/>
    <w:rsid w:val="08F866E6"/>
    <w:rsid w:val="08FE5A58"/>
    <w:rsid w:val="0992529C"/>
    <w:rsid w:val="0B4E030F"/>
    <w:rsid w:val="0D873A35"/>
    <w:rsid w:val="0DBC2246"/>
    <w:rsid w:val="0E8B7B44"/>
    <w:rsid w:val="0F574289"/>
    <w:rsid w:val="0F636E6A"/>
    <w:rsid w:val="105F7F23"/>
    <w:rsid w:val="12DC07F1"/>
    <w:rsid w:val="1302006F"/>
    <w:rsid w:val="132274CF"/>
    <w:rsid w:val="13B145CD"/>
    <w:rsid w:val="14055F0A"/>
    <w:rsid w:val="14576F96"/>
    <w:rsid w:val="150872B3"/>
    <w:rsid w:val="15093F7E"/>
    <w:rsid w:val="16BA1118"/>
    <w:rsid w:val="1943071F"/>
    <w:rsid w:val="19B7720E"/>
    <w:rsid w:val="1C9E2312"/>
    <w:rsid w:val="1E64091E"/>
    <w:rsid w:val="210265D3"/>
    <w:rsid w:val="2207257F"/>
    <w:rsid w:val="223F047C"/>
    <w:rsid w:val="23CB2A42"/>
    <w:rsid w:val="24CB2B66"/>
    <w:rsid w:val="25A75915"/>
    <w:rsid w:val="25F870CB"/>
    <w:rsid w:val="25FF3772"/>
    <w:rsid w:val="269E30FB"/>
    <w:rsid w:val="26CD3566"/>
    <w:rsid w:val="291F3AC3"/>
    <w:rsid w:val="294A4B9D"/>
    <w:rsid w:val="2A9D6A94"/>
    <w:rsid w:val="2B14519A"/>
    <w:rsid w:val="2CF937B4"/>
    <w:rsid w:val="2D2D760E"/>
    <w:rsid w:val="2F280B90"/>
    <w:rsid w:val="30CD111F"/>
    <w:rsid w:val="320E7EAB"/>
    <w:rsid w:val="336B33FF"/>
    <w:rsid w:val="34BC1613"/>
    <w:rsid w:val="3575771D"/>
    <w:rsid w:val="357B1383"/>
    <w:rsid w:val="37A36A6D"/>
    <w:rsid w:val="38C55039"/>
    <w:rsid w:val="38DF0E7E"/>
    <w:rsid w:val="3BF64543"/>
    <w:rsid w:val="3BFA08DA"/>
    <w:rsid w:val="3C0074B8"/>
    <w:rsid w:val="3CFC3F41"/>
    <w:rsid w:val="3DC20BE7"/>
    <w:rsid w:val="3DED49FE"/>
    <w:rsid w:val="3E0079AB"/>
    <w:rsid w:val="3EE93D37"/>
    <w:rsid w:val="3F5D333F"/>
    <w:rsid w:val="3F7A3EC0"/>
    <w:rsid w:val="406A5FBE"/>
    <w:rsid w:val="432F6182"/>
    <w:rsid w:val="4404599A"/>
    <w:rsid w:val="46205483"/>
    <w:rsid w:val="46292DE1"/>
    <w:rsid w:val="465A166B"/>
    <w:rsid w:val="47FA0628"/>
    <w:rsid w:val="484B2584"/>
    <w:rsid w:val="489B1959"/>
    <w:rsid w:val="4A7E3E70"/>
    <w:rsid w:val="4C043151"/>
    <w:rsid w:val="4C7C683A"/>
    <w:rsid w:val="4C874C1E"/>
    <w:rsid w:val="4DD17424"/>
    <w:rsid w:val="4F6530D8"/>
    <w:rsid w:val="500A09BE"/>
    <w:rsid w:val="50862090"/>
    <w:rsid w:val="50C54930"/>
    <w:rsid w:val="516721B8"/>
    <w:rsid w:val="51C22081"/>
    <w:rsid w:val="523A276E"/>
    <w:rsid w:val="524D61EA"/>
    <w:rsid w:val="52594DEF"/>
    <w:rsid w:val="538A45D3"/>
    <w:rsid w:val="54B35714"/>
    <w:rsid w:val="5559331C"/>
    <w:rsid w:val="55C03B73"/>
    <w:rsid w:val="56914495"/>
    <w:rsid w:val="56946517"/>
    <w:rsid w:val="56964973"/>
    <w:rsid w:val="5801770A"/>
    <w:rsid w:val="58E550F1"/>
    <w:rsid w:val="59806E40"/>
    <w:rsid w:val="5AC22024"/>
    <w:rsid w:val="5C763DA4"/>
    <w:rsid w:val="5CEC002D"/>
    <w:rsid w:val="5D183AEB"/>
    <w:rsid w:val="5D8B683A"/>
    <w:rsid w:val="5F200ED5"/>
    <w:rsid w:val="60183E57"/>
    <w:rsid w:val="613D66AC"/>
    <w:rsid w:val="62E7121A"/>
    <w:rsid w:val="6313733C"/>
    <w:rsid w:val="6436397C"/>
    <w:rsid w:val="64A60A2F"/>
    <w:rsid w:val="64F43856"/>
    <w:rsid w:val="65B04D7C"/>
    <w:rsid w:val="66263065"/>
    <w:rsid w:val="665044AB"/>
    <w:rsid w:val="66CF41BA"/>
    <w:rsid w:val="670174CC"/>
    <w:rsid w:val="67886AAF"/>
    <w:rsid w:val="67F90F75"/>
    <w:rsid w:val="68EB64FF"/>
    <w:rsid w:val="69C353A0"/>
    <w:rsid w:val="69CD0977"/>
    <w:rsid w:val="70164DDB"/>
    <w:rsid w:val="711315BD"/>
    <w:rsid w:val="73124840"/>
    <w:rsid w:val="735F380F"/>
    <w:rsid w:val="752C1367"/>
    <w:rsid w:val="760C65AF"/>
    <w:rsid w:val="76486431"/>
    <w:rsid w:val="79CB7760"/>
    <w:rsid w:val="79DE18C6"/>
    <w:rsid w:val="79E24C90"/>
    <w:rsid w:val="7B0F3010"/>
    <w:rsid w:val="7BB0455D"/>
    <w:rsid w:val="7BEC441D"/>
    <w:rsid w:val="7CB448DD"/>
    <w:rsid w:val="7CCA05DF"/>
    <w:rsid w:val="7EAE65FD"/>
    <w:rsid w:val="7EBA4860"/>
    <w:rsid w:val="7F5E590A"/>
    <w:rsid w:val="AFFC9DE7"/>
    <w:rsid w:val="EBBE28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rFonts w:ascii="仿宋_GB2312" w:eastAsia="仿宋_GB2312" w:cs="仿宋_GB2312"/>
      <w:b/>
      <w:kern w:val="44"/>
      <w:sz w:val="44"/>
      <w:szCs w:val="22"/>
      <w:lang w:bidi="ar-SA"/>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Indent 2"/>
    <w:basedOn w:val="1"/>
    <w:qFormat/>
    <w:uiPriority w:val="0"/>
    <w:pPr>
      <w:spacing w:line="440" w:lineRule="exact"/>
      <w:ind w:firstLine="560"/>
      <w:jc w:val="left"/>
    </w:pPr>
    <w:rPr>
      <w:rFonts w:ascii="Batang" w:hAnsi="Batang" w:eastAsia="方正仿宋简体"/>
      <w:sz w:val="28"/>
      <w:szCs w:val="20"/>
    </w:rPr>
  </w:style>
  <w:style w:type="paragraph" w:styleId="7">
    <w:name w:val="footer"/>
    <w:basedOn w:val="1"/>
    <w:uiPriority w:val="0"/>
    <w:pPr>
      <w:tabs>
        <w:tab w:val="center" w:pos="4153"/>
        <w:tab w:val="right" w:pos="8306"/>
      </w:tabs>
      <w:snapToGrid w:val="0"/>
      <w:jc w:val="left"/>
    </w:pPr>
    <w:rPr>
      <w:rFonts w:ascii="Calibri" w:hAnsi="Calibri" w:eastAsia="宋体" w:cs="黑体"/>
      <w:kern w:val="2"/>
      <w:sz w:val="18"/>
      <w:szCs w:val="18"/>
      <w:lang w:bidi="ar-SA"/>
    </w:rPr>
  </w:style>
  <w:style w:type="paragraph" w:styleId="8">
    <w:name w:val="header"/>
    <w:basedOn w:val="1"/>
    <w:uiPriority w:val="0"/>
    <w:pPr>
      <w:pBdr>
        <w:bottom w:val="single" w:color="auto" w:sz="6" w:space="1"/>
      </w:pBdr>
      <w:tabs>
        <w:tab w:val="center" w:pos="4153"/>
        <w:tab w:val="right" w:pos="8306"/>
      </w:tabs>
      <w:snapToGrid w:val="0"/>
      <w:jc w:val="center"/>
    </w:pPr>
    <w:rPr>
      <w:rFonts w:ascii="Calibri" w:hAnsi="Calibri" w:eastAsia="宋体" w:cs="黑体"/>
      <w:kern w:val="2"/>
      <w:sz w:val="18"/>
      <w:szCs w:val="18"/>
      <w:lang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character" w:styleId="12">
    <w:name w:val="Strong"/>
    <w:qFormat/>
    <w:uiPriority w:val="0"/>
    <w:rPr>
      <w:b/>
    </w:rPr>
  </w:style>
  <w:style w:type="paragraph" w:customStyle="1" w:styleId="13">
    <w:name w:val="table of authorities1"/>
    <w:basedOn w:val="1"/>
    <w:next w:val="1"/>
    <w:uiPriority w:val="0"/>
    <w:pPr>
      <w:ind w:left="200" w:leftChars="200"/>
    </w:pPr>
    <w:rPr>
      <w:rFonts w:ascii="仿宋_GB2312" w:eastAsia="仿宋_GB2312" w:cs="Times New Roman"/>
      <w:sz w:val="32"/>
      <w:szCs w:val="22"/>
      <w:lang w:bidi="ar-SA"/>
    </w:rPr>
  </w:style>
  <w:style w:type="paragraph" w:customStyle="1" w:styleId="14">
    <w:name w:val="msolistparagraph"/>
    <w:basedOn w:val="1"/>
    <w:uiPriority w:val="0"/>
    <w:pPr>
      <w:ind w:firstLine="200" w:firstLineChars="200"/>
    </w:pPr>
    <w:rPr>
      <w:rFonts w:ascii="仿宋_GB2312" w:eastAsia="仿宋_GB2312" w:cs="Times New Roman"/>
      <w:sz w:val="32"/>
      <w:szCs w:val="22"/>
      <w:lang w:bidi="ar-SA"/>
    </w:rPr>
  </w:style>
  <w:style w:type="paragraph" w:customStyle="1" w:styleId="15">
    <w:name w:val="Normal (Web)"/>
    <w:basedOn w:val="1"/>
    <w:uiPriority w:val="0"/>
    <w:pPr>
      <w:widowControl/>
      <w:spacing w:before="100" w:beforeAutospacing="1" w:after="100" w:afterAutospacing="1"/>
      <w:jc w:val="left"/>
    </w:pPr>
    <w:rPr>
      <w:rFonts w:ascii="宋体" w:eastAsia="宋体" w:cs="宋体"/>
      <w:kern w:val="0"/>
      <w:sz w:val="24"/>
      <w:szCs w:val="22"/>
      <w:lang w:bidi="ar-SA"/>
    </w:rPr>
  </w:style>
  <w:style w:type="paragraph" w:customStyle="1" w:styleId="16">
    <w:name w:val="列出段落1"/>
    <w:basedOn w:val="1"/>
    <w:uiPriority w:val="0"/>
    <w:pPr>
      <w:widowControl w:val="0"/>
      <w:ind w:firstLine="200" w:firstLineChars="20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4428</Words>
  <Characters>4520</Characters>
  <Lines>36</Lines>
  <Paragraphs>10</Paragraphs>
  <TotalTime>1</TotalTime>
  <ScaleCrop>false</ScaleCrop>
  <LinksUpToDate>false</LinksUpToDate>
  <CharactersWithSpaces>4636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2021-06-08T17:45:00Z</dcterms:created>
  <dc:creator>ljn</dc:creator>
  <cp:lastModifiedBy>焦扬</cp:lastModifiedBy>
  <cp:lastPrinted>2021-09-09T16:07:00Z</cp:lastPrinted>
  <dcterms:modified xsi:type="dcterms:W3CDTF">2023-11-28T01:30:03Z</dcterms:modified>
  <dc:title>user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E914ABD1C98049908A9FDD9CD72465C0_13</vt:lpwstr>
  </property>
</Properties>
</file>