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0"/>
        <w:rPr>
          <w:rFonts w:ascii="宋体" w:hAnsi="宋体" w:eastAsia="宋体" w:cs="宋体"/>
          <w:b/>
          <w:bCs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</w:pPr>
      <w:bookmarkStart w:id="0" w:name="_Toc7043"/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附件1</w:t>
      </w:r>
      <w:r>
        <w:rPr>
          <w:rFonts w:ascii="宋体" w:hAnsi="宋体" w:eastAsia="宋体" w:cs="宋体"/>
          <w:b/>
          <w:bCs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  <w:t>应急组织指挥机构和职责</w:t>
      </w:r>
    </w:p>
    <w:p>
      <w:pPr>
        <w:pStyle w:val="7"/>
        <w:ind w:left="0" w:leftChars="0" w:firstLine="0" w:firstLineChars="0"/>
        <w:jc w:val="center"/>
        <w:outlineLvl w:val="0"/>
        <w:rPr>
          <w:rFonts w:ascii="宋体" w:hAnsi="宋体" w:eastAsia="宋体" w:cs="宋体"/>
          <w:b/>
          <w:bCs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b/>
          <w:bCs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  <w:t>应急组织指挥机构和职责</w:t>
      </w: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7"/>
        <w:gridCol w:w="1518"/>
        <w:gridCol w:w="1233"/>
        <w:gridCol w:w="4773"/>
        <w:gridCol w:w="57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77" w:type="dxa"/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pacing w:val="-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应</w:t>
            </w: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急组织指挥</w:t>
            </w: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pacing w:val="-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机</w:t>
            </w: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构</w:t>
            </w:r>
          </w:p>
        </w:tc>
        <w:tc>
          <w:tcPr>
            <w:tcW w:w="1518" w:type="dxa"/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pacing w:val="-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主</w:t>
            </w: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pacing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要</w:t>
            </w: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pacing w:val="-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负</w:t>
            </w: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pacing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责</w:t>
            </w: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人</w:t>
            </w: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pacing w:val="-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和</w:t>
            </w: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pacing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联</w:t>
            </w: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pacing w:val="-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系</w:t>
            </w: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pacing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方</w:t>
            </w: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式</w:t>
            </w:r>
          </w:p>
        </w:tc>
        <w:tc>
          <w:tcPr>
            <w:tcW w:w="1233" w:type="dxa"/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pacing w:val="-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日</w:t>
            </w: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pacing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常</w:t>
            </w: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pacing w:val="-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职</w:t>
            </w: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位</w:t>
            </w:r>
          </w:p>
        </w:tc>
        <w:tc>
          <w:tcPr>
            <w:tcW w:w="4773" w:type="dxa"/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tabs>
                <w:tab w:val="left" w:pos="1381"/>
                <w:tab w:val="left" w:pos="1801"/>
                <w:tab w:val="left" w:pos="2221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日常职责</w:t>
            </w:r>
          </w:p>
        </w:tc>
        <w:tc>
          <w:tcPr>
            <w:tcW w:w="5773" w:type="dxa"/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tabs>
                <w:tab w:val="left" w:pos="422"/>
                <w:tab w:val="left" w:pos="842"/>
                <w:tab w:val="left" w:pos="1262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应急</w:t>
            </w: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ab/>
            </w: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职责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77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总指挥</w:t>
            </w:r>
          </w:p>
        </w:tc>
        <w:tc>
          <w:tcPr>
            <w:tcW w:w="1518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李 印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0859-5211020</w:t>
            </w:r>
          </w:p>
        </w:tc>
        <w:tc>
          <w:tcPr>
            <w:tcW w:w="1233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副县长</w:t>
            </w:r>
          </w:p>
        </w:tc>
        <w:tc>
          <w:tcPr>
            <w:tcW w:w="4773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（1）贯彻执行国家、当地政府及有关部门关于水源地突发环境事件的各项要求；</w:t>
            </w:r>
          </w:p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（2）组织编制、修订和批准水源地应急预案；</w:t>
            </w:r>
          </w:p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（3）指导加强水源地突发环境事件应急管理体系建设；</w:t>
            </w:r>
          </w:p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（4）协调保障水源地突发环境事件应急管理经费。</w:t>
            </w:r>
          </w:p>
        </w:tc>
        <w:tc>
          <w:tcPr>
            <w:tcW w:w="5773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（1）发生水源地突发环境事件时，亲自（或委托副总指挥）赶赴现场进行指挥，组织开展现场应急处置；</w:t>
            </w:r>
          </w:p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（2）贯彻执行当地或上级人民政府及有关部门的应急指令；</w:t>
            </w:r>
          </w:p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（3）按照预警、应急启动或终止条件，决定预案的启动或终止；</w:t>
            </w:r>
          </w:p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（4）研判突发环境事件发展态势，组织制定并批准现场处置方案；</w:t>
            </w:r>
          </w:p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（5）组织开展损害评估等后期处置工作。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77" w:type="dxa"/>
            <w:vMerge w:val="restart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副指挥</w:t>
            </w:r>
          </w:p>
        </w:tc>
        <w:tc>
          <w:tcPr>
            <w:tcW w:w="1518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骆林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0859-5480001</w:t>
            </w:r>
          </w:p>
        </w:tc>
        <w:tc>
          <w:tcPr>
            <w:tcW w:w="1233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安龙县水务局局长</w:t>
            </w:r>
          </w:p>
        </w:tc>
        <w:tc>
          <w:tcPr>
            <w:tcW w:w="4773" w:type="dxa"/>
            <w:vMerge w:val="restart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（1）协助总指挥开展有关工作；</w:t>
            </w:r>
          </w:p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（2）组织指导预案培训和演练、应急救援队伍建设和能力评估等工作；</w:t>
            </w:r>
          </w:p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（3）指导开展水源地突发环境事件风险防范和应急准备工作。</w:t>
            </w:r>
          </w:p>
        </w:tc>
        <w:tc>
          <w:tcPr>
            <w:tcW w:w="5773" w:type="dxa"/>
            <w:vMerge w:val="restart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（1）协助总指挥组织开展现场应急处置；</w:t>
            </w:r>
          </w:p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（2）根据分工或总指挥安排，负责现场的具体指挥协调；</w:t>
            </w:r>
          </w:p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（3）负责提出有关应急处置建议；</w:t>
            </w:r>
          </w:p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（4）负责向场外人员通报有关应急信息；</w:t>
            </w:r>
          </w:p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（5）负责协调现场与场外应急处置工作；</w:t>
            </w:r>
          </w:p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（6）停止取水后，负责协调保障居民用水；</w:t>
            </w:r>
          </w:p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（7）处置现场出现的紧急情况。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77" w:type="dxa"/>
            <w:vMerge w:val="continue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岑刚0859-5218508</w:t>
            </w:r>
          </w:p>
        </w:tc>
        <w:tc>
          <w:tcPr>
            <w:tcW w:w="1233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县应急管理局</w:t>
            </w:r>
          </w:p>
        </w:tc>
        <w:tc>
          <w:tcPr>
            <w:tcW w:w="4773" w:type="dxa"/>
            <w:vMerge w:val="continue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73" w:type="dxa"/>
            <w:vMerge w:val="continue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77" w:type="dxa"/>
            <w:vMerge w:val="continue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马明斌0859-5550001</w:t>
            </w:r>
          </w:p>
        </w:tc>
        <w:tc>
          <w:tcPr>
            <w:tcW w:w="1233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安龙县</w:t>
            </w:r>
            <w:r>
              <w:rPr>
                <w:rFonts w:hint="eastAsia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洒雨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镇书记</w:t>
            </w:r>
          </w:p>
        </w:tc>
        <w:tc>
          <w:tcPr>
            <w:tcW w:w="4773" w:type="dxa"/>
            <w:vMerge w:val="continue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73" w:type="dxa"/>
            <w:vMerge w:val="continue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77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协调办公室</w:t>
            </w:r>
          </w:p>
        </w:tc>
        <w:tc>
          <w:tcPr>
            <w:tcW w:w="1518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韦美斌</w:t>
            </w:r>
          </w:p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0859—5217298</w:t>
            </w:r>
          </w:p>
        </w:tc>
        <w:tc>
          <w:tcPr>
            <w:tcW w:w="1233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黔西南州生态环境局安龙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分局局长</w:t>
            </w:r>
          </w:p>
        </w:tc>
        <w:tc>
          <w:tcPr>
            <w:tcW w:w="4773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（1）组织编制、修订水源地应急预案；</w:t>
            </w:r>
          </w:p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（2）负责水源地应急预案的日常管理工作，开展预案培训和演练、应急救援队伍建设和能力评估等工作；</w:t>
            </w:r>
          </w:p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（3）组织开展水源地突发环境事件风险防范和应急准备工作。</w:t>
            </w:r>
          </w:p>
        </w:tc>
        <w:tc>
          <w:tcPr>
            <w:tcW w:w="5773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（1）贯彻执行总指挥、副总指挥的各项指令和要求；</w:t>
            </w:r>
          </w:p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（2）负责信息汇总上报，并与有关的外部应急部门、组织和机构进行联络；</w:t>
            </w:r>
          </w:p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（3）负责调动应急人员、调配应急资源和联络外部应急组织或机构；</w:t>
            </w:r>
          </w:p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（4）收集整理有关事件数据。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  <w:jc w:val="center"/>
        </w:trPr>
        <w:tc>
          <w:tcPr>
            <w:tcW w:w="877" w:type="dxa"/>
            <w:vMerge w:val="restart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专项工作组</w:t>
            </w:r>
          </w:p>
        </w:tc>
        <w:tc>
          <w:tcPr>
            <w:tcW w:w="1518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卢晓东0859-5218110</w:t>
            </w:r>
          </w:p>
        </w:tc>
        <w:tc>
          <w:tcPr>
            <w:tcW w:w="1233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安龙县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公安局局长</w:t>
            </w:r>
          </w:p>
        </w:tc>
        <w:tc>
          <w:tcPr>
            <w:tcW w:w="4773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--</w:t>
            </w:r>
          </w:p>
        </w:tc>
        <w:tc>
          <w:tcPr>
            <w:tcW w:w="5773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（1）查处导致水源地突发环境事件的违法犯罪行为；</w:t>
            </w:r>
          </w:p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（2）在处置火灾爆炸事故时，防止消防水进入水源地及其连接水体。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77" w:type="dxa"/>
            <w:vMerge w:val="continue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孙健0859-5211034</w:t>
            </w:r>
          </w:p>
        </w:tc>
        <w:tc>
          <w:tcPr>
            <w:tcW w:w="1233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安龙县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财政局局长</w:t>
            </w:r>
          </w:p>
        </w:tc>
        <w:tc>
          <w:tcPr>
            <w:tcW w:w="4773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负责保障水源地突发环境事件应急管理工作经费</w:t>
            </w:r>
          </w:p>
        </w:tc>
        <w:tc>
          <w:tcPr>
            <w:tcW w:w="5773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负责保障水源地突发环境事件应急处置期间的费用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77" w:type="dxa"/>
            <w:vMerge w:val="continue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韦玉海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0859-5210734</w:t>
            </w:r>
          </w:p>
        </w:tc>
        <w:tc>
          <w:tcPr>
            <w:tcW w:w="1233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安龙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县自然资源局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局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长</w:t>
            </w:r>
          </w:p>
        </w:tc>
        <w:tc>
          <w:tcPr>
            <w:tcW w:w="4773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规划、建设和管理适用于水源地突发环境事件处置的场地</w:t>
            </w:r>
          </w:p>
        </w:tc>
        <w:tc>
          <w:tcPr>
            <w:tcW w:w="5773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负责保障水源地突发环境事件应急处置的场地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77" w:type="dxa"/>
            <w:vMerge w:val="continue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韦美斌</w:t>
            </w:r>
          </w:p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0859</w:t>
            </w:r>
            <w:r>
              <w:rPr>
                <w:rFonts w:hint="eastAsia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5217298</w:t>
            </w:r>
          </w:p>
        </w:tc>
        <w:tc>
          <w:tcPr>
            <w:tcW w:w="1233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黔西南州生态环境局安龙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分局局长</w:t>
            </w:r>
          </w:p>
        </w:tc>
        <w:tc>
          <w:tcPr>
            <w:tcW w:w="4773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负责</w:t>
            </w:r>
            <w:r>
              <w:rPr>
                <w:rFonts w:hint="eastAsia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龙洞水库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日常监测，及时上报并通报水源地水质异常信息。开展水源地污染防治的日常监督和管理。</w:t>
            </w:r>
          </w:p>
        </w:tc>
        <w:tc>
          <w:tcPr>
            <w:tcW w:w="5773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负责应急监测，督促、指导有关部门和单位开展水源地污染物削减处置等工作。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77" w:type="dxa"/>
            <w:vMerge w:val="continue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骆林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0859-5480001</w:t>
            </w:r>
          </w:p>
        </w:tc>
        <w:tc>
          <w:tcPr>
            <w:tcW w:w="1233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安龙县水务局局长</w:t>
            </w:r>
          </w:p>
        </w:tc>
        <w:tc>
          <w:tcPr>
            <w:tcW w:w="4773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负责指导水源地水利设施建设和管理</w:t>
            </w:r>
          </w:p>
        </w:tc>
        <w:tc>
          <w:tcPr>
            <w:tcW w:w="5773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按照应急指挥部要求，利用水利工程进行污染团拦截、降污或调水稀释等工作。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77" w:type="dxa"/>
            <w:vMerge w:val="continue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廖相锷0859-5210146</w:t>
            </w:r>
          </w:p>
        </w:tc>
        <w:tc>
          <w:tcPr>
            <w:tcW w:w="1233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安龙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县住建局局长</w:t>
            </w:r>
          </w:p>
        </w:tc>
        <w:tc>
          <w:tcPr>
            <w:tcW w:w="4773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负责水厂日常管理工作，对水厂水质异常现象进行调查处理，及时上报及通报水厂水质异常信息。</w:t>
            </w:r>
          </w:p>
        </w:tc>
        <w:tc>
          <w:tcPr>
            <w:tcW w:w="5773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负责指导水厂的应急处置工作，组织水厂进行应急监测，落实停止取水、启动深度处理设施和切换备用水源等应急工作安排。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77" w:type="dxa"/>
            <w:vMerge w:val="continue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吴德洪0859-5210475</w:t>
            </w:r>
          </w:p>
        </w:tc>
        <w:tc>
          <w:tcPr>
            <w:tcW w:w="1233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安龙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县交通局局长</w:t>
            </w:r>
          </w:p>
        </w:tc>
        <w:tc>
          <w:tcPr>
            <w:tcW w:w="4773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负责危险化学品运输车辆跨越水源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地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道路桥梁的日常应急管理工作，建设维护道路桥梁应急工程设施维护等</w:t>
            </w:r>
          </w:p>
        </w:tc>
        <w:tc>
          <w:tcPr>
            <w:tcW w:w="5773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协助处置交通事故次生的水源地突发环境事件，事故发生后及时启用道路桥梁应急工程设施，并负责保障应急物资运输车辆快速通行。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77" w:type="dxa"/>
            <w:vMerge w:val="continue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陈正旺0859-5210052</w:t>
            </w:r>
          </w:p>
        </w:tc>
        <w:tc>
          <w:tcPr>
            <w:tcW w:w="1233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县农业农村局长</w:t>
            </w:r>
          </w:p>
        </w:tc>
        <w:tc>
          <w:tcPr>
            <w:tcW w:w="4773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管理暴雨期间入河农灌退水排放行为进行，防范农业面源导致的水源地突发环境事件。</w:t>
            </w:r>
          </w:p>
        </w:tc>
        <w:tc>
          <w:tcPr>
            <w:tcW w:w="5773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协助处置因农业面源、渔业养殖导致的水源地突发环境事件。对具有农灌功能的水源地，在应急期间暂停农灌取水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77" w:type="dxa"/>
            <w:vMerge w:val="continue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余必用0859-5210073</w:t>
            </w:r>
          </w:p>
        </w:tc>
        <w:tc>
          <w:tcPr>
            <w:tcW w:w="1233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县卫健局长</w:t>
            </w:r>
          </w:p>
        </w:tc>
        <w:tc>
          <w:tcPr>
            <w:tcW w:w="4773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负责自来水管网末梢水水质卫生日常管理，及时上报并通报管网末梢水水质异常信息。</w:t>
            </w:r>
          </w:p>
        </w:tc>
        <w:tc>
          <w:tcPr>
            <w:tcW w:w="5773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负责管网末梢水水质应急监测，确保应急期间居民饮水卫生安全。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77" w:type="dxa"/>
            <w:vMerge w:val="continue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岑刚0859-5218508</w:t>
            </w:r>
          </w:p>
        </w:tc>
        <w:tc>
          <w:tcPr>
            <w:tcW w:w="1233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县应急管理局</w:t>
            </w:r>
          </w:p>
        </w:tc>
        <w:tc>
          <w:tcPr>
            <w:tcW w:w="4773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防范企业生产安全事故次生水源地突发环境事件，及时上报及通报事故信息</w:t>
            </w:r>
          </w:p>
        </w:tc>
        <w:tc>
          <w:tcPr>
            <w:tcW w:w="5773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协助处置因企业生产安全事故、违法排污等导致的水源地突发环境事件。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77" w:type="dxa"/>
            <w:vMerge w:val="continue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杨波0859-5212310</w:t>
            </w:r>
          </w:p>
        </w:tc>
        <w:tc>
          <w:tcPr>
            <w:tcW w:w="1233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县气象局局长</w:t>
            </w:r>
          </w:p>
        </w:tc>
        <w:tc>
          <w:tcPr>
            <w:tcW w:w="4773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及时上报、通报和发布暴雨、洪水等气象信息。</w:t>
            </w:r>
          </w:p>
        </w:tc>
        <w:tc>
          <w:tcPr>
            <w:tcW w:w="5773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负责应急期间提供水源地周边气象信息。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77" w:type="dxa"/>
            <w:vMerge w:val="continue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18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夏红13885950230</w:t>
            </w:r>
          </w:p>
        </w:tc>
        <w:tc>
          <w:tcPr>
            <w:tcW w:w="1233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贵州水投水库运营管理安龙有限公司</w:t>
            </w:r>
          </w:p>
        </w:tc>
        <w:tc>
          <w:tcPr>
            <w:tcW w:w="4773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负责有关应急物资的日常维护管理。</w:t>
            </w:r>
          </w:p>
        </w:tc>
        <w:tc>
          <w:tcPr>
            <w:tcW w:w="5773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负责有关应急物资的使用管理。</w:t>
            </w:r>
          </w:p>
        </w:tc>
      </w:tr>
    </w:tbl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附件2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现场应急工作组人员名单、联系方式及职责</w:t>
      </w:r>
    </w:p>
    <w:p>
      <w:pPr>
        <w:pStyle w:val="7"/>
        <w:ind w:left="0" w:leftChars="0" w:firstLine="0" w:firstLineChars="0"/>
        <w:jc w:val="center"/>
        <w:outlineLvl w:val="0"/>
        <w:rPr>
          <w:rFonts w:hint="default" w:ascii="Times New Roman" w:hAnsi="Times New Roman" w:eastAsia="宋体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现场应急工作组人员名单、联系方式及职责</w:t>
      </w:r>
    </w:p>
    <w:tbl>
      <w:tblPr>
        <w:tblStyle w:val="11"/>
        <w:tblW w:w="1419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8"/>
        <w:gridCol w:w="1710"/>
        <w:gridCol w:w="3271"/>
        <w:gridCol w:w="75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88" w:type="dxa"/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bookmarkStart w:id="6" w:name="_GoBack"/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pacing w:val="-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应</w:t>
            </w: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急组织</w:t>
            </w: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pacing w:val="-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机</w:t>
            </w: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构</w:t>
            </w:r>
          </w:p>
        </w:tc>
        <w:tc>
          <w:tcPr>
            <w:tcW w:w="1710" w:type="dxa"/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/>
              <w:textAlignment w:val="auto"/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pacing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联</w:t>
            </w: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pacing w:val="-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系</w:t>
            </w: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pacing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方</w:t>
            </w: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式</w:t>
            </w:r>
          </w:p>
        </w:tc>
        <w:tc>
          <w:tcPr>
            <w:tcW w:w="3271" w:type="dxa"/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pacing w:val="-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日</w:t>
            </w: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pacing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常</w:t>
            </w: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pacing w:val="-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职</w:t>
            </w: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位</w:t>
            </w:r>
          </w:p>
        </w:tc>
        <w:tc>
          <w:tcPr>
            <w:tcW w:w="7521" w:type="dxa"/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 w:val="0"/>
              <w:tabs>
                <w:tab w:val="left" w:pos="422"/>
                <w:tab w:val="left" w:pos="842"/>
                <w:tab w:val="left" w:pos="126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应急职责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1688" w:type="dxa"/>
            <w:vMerge w:val="restart"/>
            <w:noWrap w:val="0"/>
            <w:vAlign w:val="center"/>
          </w:tcPr>
          <w:p>
            <w:pPr>
              <w:pStyle w:val="16"/>
              <w:adjustRightIn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应急处置组</w:t>
            </w:r>
          </w:p>
        </w:tc>
        <w:tc>
          <w:tcPr>
            <w:tcW w:w="1710" w:type="dxa"/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0859-5218110</w:t>
            </w:r>
          </w:p>
        </w:tc>
        <w:tc>
          <w:tcPr>
            <w:tcW w:w="3271" w:type="dxa"/>
            <w:noWrap w:val="0"/>
            <w:vAlign w:val="center"/>
          </w:tcPr>
          <w:p>
            <w:pPr>
              <w:pStyle w:val="16"/>
              <w:adjustRightIn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县公安局相关负责人及工作人员</w:t>
            </w:r>
          </w:p>
        </w:tc>
        <w:tc>
          <w:tcPr>
            <w:tcW w:w="7521" w:type="dxa"/>
            <w:noWrap w:val="0"/>
            <w:vAlign w:val="center"/>
          </w:tcPr>
          <w:p>
            <w:pPr>
              <w:pStyle w:val="16"/>
              <w:adjustRightInd w:val="0"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（1）负责事故状态下设置警戒区、安全区，负责人员疏散撤离工作。</w:t>
            </w:r>
          </w:p>
          <w:p>
            <w:pPr>
              <w:pStyle w:val="16"/>
              <w:adjustRightInd w:val="0"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（2）负责紧急状态下现场污染物消除、围堵和削减等各项工作；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88" w:type="dxa"/>
            <w:vMerge w:val="continue"/>
            <w:noWrap w:val="0"/>
            <w:vAlign w:val="center"/>
          </w:tcPr>
          <w:p>
            <w:pPr>
              <w:pStyle w:val="16"/>
              <w:adjustRightIn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10" w:type="dxa"/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0859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5217298</w:t>
            </w:r>
          </w:p>
        </w:tc>
        <w:tc>
          <w:tcPr>
            <w:tcW w:w="3271" w:type="dxa"/>
            <w:noWrap w:val="0"/>
            <w:vAlign w:val="center"/>
          </w:tcPr>
          <w:p>
            <w:pPr>
              <w:pStyle w:val="16"/>
              <w:adjustRightIn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州</w:t>
            </w:r>
            <w:r>
              <w:rPr>
                <w:rFonts w:hint="eastAsia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生态环境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局安龙分局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相关负责人及工作人员</w:t>
            </w:r>
          </w:p>
        </w:tc>
        <w:tc>
          <w:tcPr>
            <w:tcW w:w="7521" w:type="dxa"/>
            <w:noWrap w:val="0"/>
            <w:vAlign w:val="center"/>
          </w:tcPr>
          <w:p>
            <w:pPr>
              <w:pStyle w:val="16"/>
              <w:adjustRightInd w:val="0"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（1）负责水源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地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的监管，发现污染事件进行初步处置；</w:t>
            </w:r>
          </w:p>
          <w:p>
            <w:pPr>
              <w:pStyle w:val="16"/>
              <w:adjustRightInd w:val="0"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（2）根据事故变化及时向指挥部报告，以便统筹调度各方面人力、物力加强处置工作。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88" w:type="dxa"/>
            <w:vMerge w:val="continue"/>
            <w:noWrap w:val="0"/>
            <w:vAlign w:val="center"/>
          </w:tcPr>
          <w:p>
            <w:pPr>
              <w:pStyle w:val="16"/>
              <w:adjustRightIn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10" w:type="dxa"/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0859-5480001</w:t>
            </w:r>
          </w:p>
        </w:tc>
        <w:tc>
          <w:tcPr>
            <w:tcW w:w="3271" w:type="dxa"/>
            <w:noWrap w:val="0"/>
            <w:vAlign w:val="center"/>
          </w:tcPr>
          <w:p>
            <w:pPr>
              <w:pStyle w:val="16"/>
              <w:adjustRightIn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县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水务局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相关负责人及工作人员</w:t>
            </w:r>
          </w:p>
        </w:tc>
        <w:tc>
          <w:tcPr>
            <w:tcW w:w="7521" w:type="dxa"/>
            <w:noWrap w:val="0"/>
            <w:vAlign w:val="center"/>
          </w:tcPr>
          <w:p>
            <w:pPr>
              <w:pStyle w:val="16"/>
              <w:adjustRightInd w:val="0"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协助水库污染应急处理，参与水环境事件应急处置工作。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88" w:type="dxa"/>
            <w:vMerge w:val="continue"/>
            <w:noWrap w:val="0"/>
            <w:vAlign w:val="center"/>
          </w:tcPr>
          <w:p>
            <w:pPr>
              <w:pStyle w:val="16"/>
              <w:adjustRightIn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10" w:type="dxa"/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0859-5210052</w:t>
            </w:r>
          </w:p>
        </w:tc>
        <w:tc>
          <w:tcPr>
            <w:tcW w:w="3271" w:type="dxa"/>
            <w:noWrap w:val="0"/>
            <w:vAlign w:val="center"/>
          </w:tcPr>
          <w:p>
            <w:pPr>
              <w:pStyle w:val="16"/>
              <w:adjustRightIn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县农业农村工作局相关负责人及工作人员</w:t>
            </w:r>
          </w:p>
        </w:tc>
        <w:tc>
          <w:tcPr>
            <w:tcW w:w="7521" w:type="dxa"/>
            <w:noWrap w:val="0"/>
            <w:vAlign w:val="center"/>
          </w:tcPr>
          <w:p>
            <w:pPr>
              <w:pStyle w:val="16"/>
              <w:adjustRightInd w:val="0"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负责指导农田污水引发的水源地水质污染的处置工作，必要时请求环保局的援助。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88" w:type="dxa"/>
            <w:vMerge w:val="continue"/>
            <w:noWrap w:val="0"/>
            <w:vAlign w:val="center"/>
          </w:tcPr>
          <w:p>
            <w:pPr>
              <w:pStyle w:val="16"/>
              <w:adjustRightIn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10" w:type="dxa"/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0859-5210465</w:t>
            </w:r>
          </w:p>
        </w:tc>
        <w:tc>
          <w:tcPr>
            <w:tcW w:w="3271" w:type="dxa"/>
            <w:noWrap w:val="0"/>
            <w:vAlign w:val="center"/>
          </w:tcPr>
          <w:p>
            <w:pPr>
              <w:pStyle w:val="16"/>
              <w:adjustRightIn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安龙县市场监督管理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局相关负责人及工作人员</w:t>
            </w:r>
          </w:p>
        </w:tc>
        <w:tc>
          <w:tcPr>
            <w:tcW w:w="7521" w:type="dxa"/>
            <w:noWrap w:val="0"/>
            <w:vAlign w:val="center"/>
          </w:tcPr>
          <w:p>
            <w:pPr>
              <w:pStyle w:val="16"/>
              <w:adjustRightInd w:val="0"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负责指导水源地周边危化品泄漏事故的处置工作，必要时请求消防大队、环保局的援助。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88" w:type="dxa"/>
            <w:vMerge w:val="continue"/>
            <w:noWrap w:val="0"/>
            <w:vAlign w:val="center"/>
          </w:tcPr>
          <w:p>
            <w:pPr>
              <w:pStyle w:val="16"/>
              <w:adjustRightIn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10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0859-5210475</w:t>
            </w:r>
          </w:p>
        </w:tc>
        <w:tc>
          <w:tcPr>
            <w:tcW w:w="3271" w:type="dxa"/>
            <w:noWrap w:val="0"/>
            <w:vAlign w:val="center"/>
          </w:tcPr>
          <w:p>
            <w:pPr>
              <w:pStyle w:val="16"/>
              <w:adjustRightIn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县交通局相关负责人及工作人员</w:t>
            </w:r>
          </w:p>
        </w:tc>
        <w:tc>
          <w:tcPr>
            <w:tcW w:w="7521" w:type="dxa"/>
            <w:noWrap w:val="0"/>
            <w:vAlign w:val="center"/>
          </w:tcPr>
          <w:p>
            <w:pPr>
              <w:pStyle w:val="16"/>
              <w:adjustRightInd w:val="0"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协助安监局水源地周边危化品泄漏事故的处置工作。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88" w:type="dxa"/>
            <w:vMerge w:val="continue"/>
            <w:noWrap w:val="0"/>
            <w:vAlign w:val="center"/>
          </w:tcPr>
          <w:p>
            <w:pPr>
              <w:pStyle w:val="16"/>
              <w:adjustRightIn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10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13885950230</w:t>
            </w:r>
          </w:p>
        </w:tc>
        <w:tc>
          <w:tcPr>
            <w:tcW w:w="3271" w:type="dxa"/>
            <w:noWrap w:val="0"/>
            <w:vAlign w:val="center"/>
          </w:tcPr>
          <w:p>
            <w:pPr>
              <w:pStyle w:val="16"/>
              <w:adjustRightIn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贵州水投水库运营管理安龙有限公司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负责人及工作人员</w:t>
            </w:r>
          </w:p>
        </w:tc>
        <w:tc>
          <w:tcPr>
            <w:tcW w:w="7521" w:type="dxa"/>
            <w:noWrap w:val="0"/>
            <w:vAlign w:val="center"/>
          </w:tcPr>
          <w:p>
            <w:pPr>
              <w:pStyle w:val="16"/>
              <w:adjustRightInd w:val="0"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事故状态下，加大水厂进、出水的水质监测频次，根据监测数据及时调整制水系统的运行参数，保障水厂出水水质达标。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88" w:type="dxa"/>
            <w:vMerge w:val="restart"/>
            <w:noWrap w:val="0"/>
            <w:vAlign w:val="center"/>
          </w:tcPr>
          <w:p>
            <w:pPr>
              <w:pStyle w:val="16"/>
              <w:adjustRightIn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应急监测组</w:t>
            </w:r>
          </w:p>
        </w:tc>
        <w:tc>
          <w:tcPr>
            <w:tcW w:w="1710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0859-5210073</w:t>
            </w:r>
          </w:p>
        </w:tc>
        <w:tc>
          <w:tcPr>
            <w:tcW w:w="3271" w:type="dxa"/>
            <w:noWrap w:val="0"/>
            <w:vAlign w:val="center"/>
          </w:tcPr>
          <w:p>
            <w:pPr>
              <w:pStyle w:val="16"/>
              <w:adjustRightIn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县卫计局下属单位疾病预防控制中心相关负责人及工作人员</w:t>
            </w:r>
          </w:p>
        </w:tc>
        <w:tc>
          <w:tcPr>
            <w:tcW w:w="7521" w:type="dxa"/>
            <w:noWrap w:val="0"/>
            <w:vAlign w:val="center"/>
          </w:tcPr>
          <w:p>
            <w:pPr>
              <w:pStyle w:val="16"/>
              <w:adjustRightInd w:val="0"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（1）负责对事故状态下水厂的管网末梢水的水质监测，为水厂应对决策提供依据；</w:t>
            </w:r>
          </w:p>
          <w:p>
            <w:pPr>
              <w:pStyle w:val="16"/>
              <w:adjustRightInd w:val="0"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88" w:type="dxa"/>
            <w:vMerge w:val="continue"/>
            <w:noWrap w:val="0"/>
            <w:vAlign w:val="center"/>
          </w:tcPr>
          <w:p>
            <w:pPr>
              <w:pStyle w:val="16"/>
              <w:adjustRightIn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10" w:type="dxa"/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0859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5217298</w:t>
            </w:r>
          </w:p>
        </w:tc>
        <w:tc>
          <w:tcPr>
            <w:tcW w:w="3271" w:type="dxa"/>
            <w:noWrap w:val="0"/>
            <w:vAlign w:val="center"/>
          </w:tcPr>
          <w:p>
            <w:pPr>
              <w:pStyle w:val="16"/>
              <w:adjustRightIn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州</w:t>
            </w:r>
            <w:r>
              <w:rPr>
                <w:rFonts w:hint="eastAsia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生态环境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局安龙分局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相关负责人及工作人员</w:t>
            </w:r>
          </w:p>
        </w:tc>
        <w:tc>
          <w:tcPr>
            <w:tcW w:w="7521" w:type="dxa"/>
            <w:noWrap w:val="0"/>
            <w:vAlign w:val="center"/>
          </w:tcPr>
          <w:p>
            <w:pPr>
              <w:pStyle w:val="16"/>
              <w:adjustRightInd w:val="0"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（1）负责对事故发生地的水质监测；</w:t>
            </w:r>
          </w:p>
          <w:p>
            <w:pPr>
              <w:pStyle w:val="16"/>
              <w:adjustRightInd w:val="0"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（2）在污染团扩散方向分区域设置断面进行监测，分析污染团迁移速率、方向和流量等，为应急处置提供依据与保障。</w:t>
            </w:r>
          </w:p>
          <w:p>
            <w:pPr>
              <w:pStyle w:val="16"/>
              <w:adjustRightInd w:val="0"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（1）为救援行动提供物质保证（包括污染物吸附、中和的材料及药剂，挖掘</w:t>
            </w:r>
          </w:p>
          <w:p>
            <w:pPr>
              <w:pStyle w:val="16"/>
              <w:adjustRightInd w:val="0"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或设置临时围堰的器材，监测器材和指挥通信器材等）；</w:t>
            </w:r>
          </w:p>
          <w:p>
            <w:pPr>
              <w:pStyle w:val="16"/>
              <w:adjustRightInd w:val="0"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（2）尽快消除事故后果和影响，保证社会稳定，尽快恢复水厂取水正常秩序。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88" w:type="dxa"/>
            <w:vMerge w:val="restart"/>
            <w:noWrap w:val="0"/>
            <w:vAlign w:val="center"/>
          </w:tcPr>
          <w:p>
            <w:pPr>
              <w:pStyle w:val="16"/>
              <w:adjustRightIn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应急物资保障组</w:t>
            </w:r>
          </w:p>
        </w:tc>
        <w:tc>
          <w:tcPr>
            <w:tcW w:w="1710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13885950230</w:t>
            </w:r>
          </w:p>
        </w:tc>
        <w:tc>
          <w:tcPr>
            <w:tcW w:w="3271" w:type="dxa"/>
            <w:noWrap w:val="0"/>
            <w:vAlign w:val="center"/>
          </w:tcPr>
          <w:p>
            <w:pPr>
              <w:pStyle w:val="16"/>
              <w:adjustRightIn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贵州水投水库运营管理安龙有限公司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负责人及工作人员</w:t>
            </w:r>
          </w:p>
        </w:tc>
        <w:tc>
          <w:tcPr>
            <w:tcW w:w="7521" w:type="dxa"/>
            <w:noWrap w:val="0"/>
            <w:vAlign w:val="center"/>
          </w:tcPr>
          <w:p>
            <w:pPr>
              <w:pStyle w:val="16"/>
              <w:adjustRightInd w:val="0"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确保本水厂应急物资充足，事故状态下尽量确保出厂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水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质达标。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88" w:type="dxa"/>
            <w:vMerge w:val="continue"/>
            <w:noWrap w:val="0"/>
            <w:vAlign w:val="center"/>
          </w:tcPr>
          <w:p>
            <w:pPr>
              <w:pStyle w:val="16"/>
              <w:adjustRightIn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10" w:type="dxa"/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0859-5211034</w:t>
            </w:r>
          </w:p>
        </w:tc>
        <w:tc>
          <w:tcPr>
            <w:tcW w:w="3271" w:type="dxa"/>
            <w:noWrap w:val="0"/>
            <w:vAlign w:val="center"/>
          </w:tcPr>
          <w:p>
            <w:pPr>
              <w:pStyle w:val="16"/>
              <w:adjustRightIn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县财政局相关负责人及工作人员</w:t>
            </w:r>
          </w:p>
        </w:tc>
        <w:tc>
          <w:tcPr>
            <w:tcW w:w="7521" w:type="dxa"/>
            <w:noWrap w:val="0"/>
            <w:vAlign w:val="center"/>
          </w:tcPr>
          <w:p>
            <w:pPr>
              <w:pStyle w:val="16"/>
              <w:adjustRightInd w:val="0"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负责应急物资款项的拨付等。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6" w:hRule="atLeast"/>
          <w:jc w:val="center"/>
        </w:trPr>
        <w:tc>
          <w:tcPr>
            <w:tcW w:w="1688" w:type="dxa"/>
            <w:noWrap w:val="0"/>
            <w:vAlign w:val="center"/>
          </w:tcPr>
          <w:p>
            <w:pPr>
              <w:pStyle w:val="16"/>
              <w:adjustRightIn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应急专家组</w:t>
            </w:r>
          </w:p>
        </w:tc>
        <w:tc>
          <w:tcPr>
            <w:tcW w:w="1710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贾国山15870379054</w:t>
            </w:r>
          </w:p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黄思垠18985479066</w:t>
            </w:r>
          </w:p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bookmarkStart w:id="1" w:name="_Toc24228"/>
            <w:r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黄振辉13985395969</w:t>
            </w:r>
            <w:bookmarkEnd w:id="1"/>
          </w:p>
        </w:tc>
        <w:tc>
          <w:tcPr>
            <w:tcW w:w="3271" w:type="dxa"/>
            <w:noWrap w:val="0"/>
            <w:vAlign w:val="center"/>
          </w:tcPr>
          <w:p>
            <w:pPr>
              <w:pStyle w:val="16"/>
              <w:adjustRightIn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环保专家库</w:t>
            </w:r>
          </w:p>
        </w:tc>
        <w:tc>
          <w:tcPr>
            <w:tcW w:w="7521" w:type="dxa"/>
            <w:noWrap w:val="0"/>
            <w:vAlign w:val="center"/>
          </w:tcPr>
          <w:p>
            <w:pPr>
              <w:pStyle w:val="16"/>
              <w:adjustRightInd w:val="0"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为现场应急处置提供技术支持。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688" w:type="dxa"/>
            <w:vMerge w:val="restart"/>
            <w:noWrap w:val="0"/>
            <w:vAlign w:val="center"/>
          </w:tcPr>
          <w:p>
            <w:pPr>
              <w:pStyle w:val="16"/>
              <w:adjustRightIn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应急供水保障组</w:t>
            </w:r>
          </w:p>
        </w:tc>
        <w:tc>
          <w:tcPr>
            <w:tcW w:w="1710" w:type="dxa"/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0859-5210146</w:t>
            </w:r>
          </w:p>
        </w:tc>
        <w:tc>
          <w:tcPr>
            <w:tcW w:w="3271" w:type="dxa"/>
            <w:noWrap w:val="0"/>
            <w:vAlign w:val="center"/>
          </w:tcPr>
          <w:p>
            <w:pPr>
              <w:pStyle w:val="16"/>
              <w:adjustRightIn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县住建局相关负责人及工作人员</w:t>
            </w:r>
          </w:p>
        </w:tc>
        <w:tc>
          <w:tcPr>
            <w:tcW w:w="7521" w:type="dxa"/>
            <w:vMerge w:val="restart"/>
            <w:noWrap w:val="0"/>
            <w:vAlign w:val="center"/>
          </w:tcPr>
          <w:p>
            <w:pPr>
              <w:pStyle w:val="16"/>
              <w:numPr>
                <w:ilvl w:val="0"/>
                <w:numId w:val="1"/>
              </w:numPr>
              <w:adjustRightInd w:val="0"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负责制定应急供水保障方案；</w:t>
            </w:r>
          </w:p>
          <w:p>
            <w:pPr>
              <w:pStyle w:val="16"/>
              <w:numPr>
                <w:ilvl w:val="0"/>
                <w:numId w:val="1"/>
              </w:numPr>
              <w:adjustRightInd w:val="0"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负责指导水厂启动深度处理设施或备用水源以及应急供水车等措施，保障居民用水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688" w:type="dxa"/>
            <w:vMerge w:val="continue"/>
            <w:noWrap w:val="0"/>
            <w:vAlign w:val="center"/>
          </w:tcPr>
          <w:p>
            <w:pPr>
              <w:pStyle w:val="16"/>
              <w:adjustRightIn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10" w:type="dxa"/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0859-5480001</w:t>
            </w:r>
          </w:p>
        </w:tc>
        <w:tc>
          <w:tcPr>
            <w:tcW w:w="3271" w:type="dxa"/>
            <w:noWrap w:val="0"/>
            <w:vAlign w:val="center"/>
          </w:tcPr>
          <w:p>
            <w:pPr>
              <w:pStyle w:val="16"/>
              <w:adjustRightIn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县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水务局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相关负责人及工作人员</w:t>
            </w:r>
          </w:p>
        </w:tc>
        <w:tc>
          <w:tcPr>
            <w:tcW w:w="7521" w:type="dxa"/>
            <w:vMerge w:val="continue"/>
            <w:noWrap w:val="0"/>
            <w:vAlign w:val="center"/>
          </w:tcPr>
          <w:p>
            <w:pPr>
              <w:pStyle w:val="16"/>
              <w:adjustRightIn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" w:hRule="atLeast"/>
          <w:jc w:val="center"/>
        </w:trPr>
        <w:tc>
          <w:tcPr>
            <w:tcW w:w="1688" w:type="dxa"/>
            <w:vMerge w:val="continue"/>
            <w:noWrap w:val="0"/>
            <w:vAlign w:val="center"/>
          </w:tcPr>
          <w:p>
            <w:pPr>
              <w:pStyle w:val="16"/>
              <w:adjustRightIn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10" w:type="dxa"/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0859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5217298</w:t>
            </w:r>
          </w:p>
        </w:tc>
        <w:tc>
          <w:tcPr>
            <w:tcW w:w="3271" w:type="dxa"/>
            <w:noWrap w:val="0"/>
            <w:vAlign w:val="center"/>
          </w:tcPr>
          <w:p>
            <w:pPr>
              <w:pStyle w:val="16"/>
              <w:adjustRightIn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州</w:t>
            </w:r>
            <w:r>
              <w:rPr>
                <w:rFonts w:hint="eastAsia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生态环境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局安龙分局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相关负责人及工作人员</w:t>
            </w:r>
          </w:p>
        </w:tc>
        <w:tc>
          <w:tcPr>
            <w:tcW w:w="7521" w:type="dxa"/>
            <w:vMerge w:val="continue"/>
            <w:noWrap w:val="0"/>
            <w:vAlign w:val="center"/>
          </w:tcPr>
          <w:p>
            <w:pPr>
              <w:pStyle w:val="16"/>
              <w:adjustRightIn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688" w:type="dxa"/>
            <w:vMerge w:val="continue"/>
            <w:noWrap w:val="0"/>
            <w:vAlign w:val="center"/>
          </w:tcPr>
          <w:p>
            <w:pPr>
              <w:pStyle w:val="16"/>
              <w:adjustRightIn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10" w:type="dxa"/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0859-5210073</w:t>
            </w:r>
          </w:p>
        </w:tc>
        <w:tc>
          <w:tcPr>
            <w:tcW w:w="3271" w:type="dxa"/>
            <w:noWrap w:val="0"/>
            <w:vAlign w:val="center"/>
          </w:tcPr>
          <w:p>
            <w:pPr>
              <w:pStyle w:val="16"/>
              <w:adjustRightIn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县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卫生健康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局相关负责人及工作人员</w:t>
            </w:r>
          </w:p>
        </w:tc>
        <w:tc>
          <w:tcPr>
            <w:tcW w:w="7521" w:type="dxa"/>
            <w:vMerge w:val="continue"/>
            <w:noWrap w:val="0"/>
            <w:vAlign w:val="center"/>
          </w:tcPr>
          <w:p>
            <w:pPr>
              <w:pStyle w:val="16"/>
              <w:adjustRightIn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688" w:type="dxa"/>
            <w:vMerge w:val="continue"/>
            <w:noWrap w:val="0"/>
            <w:vAlign w:val="center"/>
          </w:tcPr>
          <w:p>
            <w:pPr>
              <w:pStyle w:val="16"/>
              <w:adjustRightIn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10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13885950230</w:t>
            </w:r>
          </w:p>
        </w:tc>
        <w:tc>
          <w:tcPr>
            <w:tcW w:w="3271" w:type="dxa"/>
            <w:noWrap w:val="0"/>
            <w:vAlign w:val="center"/>
          </w:tcPr>
          <w:p>
            <w:pPr>
              <w:pStyle w:val="16"/>
              <w:adjustRightIn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贵州水投水库运营管理安龙有限公司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负责人及工作人员</w:t>
            </w:r>
          </w:p>
        </w:tc>
        <w:tc>
          <w:tcPr>
            <w:tcW w:w="7521" w:type="dxa"/>
            <w:vMerge w:val="continue"/>
            <w:noWrap w:val="0"/>
            <w:vAlign w:val="center"/>
          </w:tcPr>
          <w:p>
            <w:pPr>
              <w:pStyle w:val="16"/>
              <w:adjustRightIn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" w:hRule="atLeast"/>
          <w:jc w:val="center"/>
        </w:trPr>
        <w:tc>
          <w:tcPr>
            <w:tcW w:w="1688" w:type="dxa"/>
            <w:noWrap w:val="0"/>
            <w:vAlign w:val="center"/>
          </w:tcPr>
          <w:p>
            <w:pPr>
              <w:pStyle w:val="16"/>
              <w:adjustRightIn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综合组</w:t>
            </w:r>
          </w:p>
        </w:tc>
        <w:tc>
          <w:tcPr>
            <w:tcW w:w="1710" w:type="dxa"/>
            <w:noWrap w:val="0"/>
            <w:vAlign w:val="center"/>
          </w:tcPr>
          <w:p>
            <w:pPr>
              <w:pStyle w:val="1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240" w:lineRule="auto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0859-5218508</w:t>
            </w:r>
          </w:p>
        </w:tc>
        <w:tc>
          <w:tcPr>
            <w:tcW w:w="3271" w:type="dxa"/>
            <w:noWrap w:val="0"/>
            <w:vAlign w:val="center"/>
          </w:tcPr>
          <w:p>
            <w:pPr>
              <w:pStyle w:val="16"/>
              <w:adjustRightIn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县政府应急办</w:t>
            </w:r>
          </w:p>
        </w:tc>
        <w:tc>
          <w:tcPr>
            <w:tcW w:w="7521" w:type="dxa"/>
            <w:noWrap w:val="0"/>
            <w:vAlign w:val="center"/>
          </w:tcPr>
          <w:p>
            <w:pPr>
              <w:pStyle w:val="16"/>
              <w:adjustRightIn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负责信息报告、信息发布和舆情应对等工作</w:t>
            </w:r>
          </w:p>
        </w:tc>
      </w:tr>
      <w:bookmarkEnd w:id="6"/>
    </w:tbl>
    <w:p>
      <w:pPr>
        <w:pStyle w:val="7"/>
        <w:ind w:left="0" w:leftChars="0" w:firstLine="0" w:firstLineChars="0"/>
        <w:jc w:val="center"/>
        <w:outlineLvl w:val="0"/>
        <w:rPr>
          <w:rFonts w:hint="default" w:ascii="Times New Roman" w:hAnsi="Times New Roman" w:eastAsia="宋体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sectPr>
          <w:footerReference r:id="rId3" w:type="default"/>
          <w:pgSz w:w="16838" w:h="11906" w:orient="landscape"/>
          <w:pgMar w:top="1417" w:right="1440" w:bottom="1304" w:left="1440" w:header="851" w:footer="992" w:gutter="0"/>
          <w:pgNumType w:fmt="decimal"/>
          <w:cols w:space="425" w:num="1"/>
          <w:docGrid w:type="lines" w:linePitch="312" w:charSpace="0"/>
        </w:sectPr>
      </w:pP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textAlignment w:val="auto"/>
        <w:rPr>
          <w:rFonts w:hint="default" w:ascii="Times New Roman" w:hAnsi="Times New Roman" w:eastAsia="宋体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/>
          <w:bCs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Times New Roman" w:hAnsi="Times New Roman" w:eastAsia="宋体" w:cs="Times New Roman"/>
          <w:b/>
          <w:bCs/>
          <w:color w:val="000000" w:themeColor="text1"/>
          <w:spacing w:val="-4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  <w:t>不同类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pacing w:val="-2"/>
          <w:sz w:val="24"/>
          <w:szCs w:val="24"/>
          <w14:textFill>
            <w14:solidFill>
              <w14:schemeClr w14:val="tx1"/>
            </w14:solidFill>
          </w14:textFill>
        </w:rPr>
        <w:t>型突发环境事件现场应急指挥部及应急工作组组成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72" w:firstLineChars="200"/>
        <w:textAlignment w:val="auto"/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2" w:name="_bookmark95"/>
      <w:bookmarkEnd w:id="2"/>
      <w:r>
        <w:rPr>
          <w:rFonts w:ascii="宋体" w:hAnsi="宋体" w:eastAsia="宋体" w:cs="宋体"/>
          <w:color w:val="000000" w:themeColor="text1"/>
          <w:spacing w:val="-2"/>
          <w:sz w:val="24"/>
          <w:szCs w:val="24"/>
          <w14:textFill>
            <w14:solidFill>
              <w14:schemeClr w14:val="tx1"/>
            </w14:solidFill>
          </w14:textFill>
        </w:rPr>
        <w:t>一</w:t>
      </w:r>
      <w:r>
        <w:rPr>
          <w:rFonts w:ascii="宋体" w:hAnsi="宋体" w:eastAsia="宋体" w:cs="宋体"/>
          <w:color w:val="000000" w:themeColor="text1"/>
          <w:spacing w:val="-1"/>
          <w:sz w:val="24"/>
          <w:szCs w:val="24"/>
          <w14:textFill>
            <w14:solidFill>
              <w14:schemeClr w14:val="tx1"/>
            </w14:solidFill>
          </w14:textFill>
        </w:rPr>
        <w:t>、固定源突发环境事件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right="0" w:firstLine="472" w:firstLineChars="200"/>
        <w:textAlignment w:val="auto"/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color w:val="000000" w:themeColor="text1"/>
          <w:spacing w:val="-2"/>
          <w:sz w:val="24"/>
          <w:szCs w:val="24"/>
          <w14:textFill>
            <w14:solidFill>
              <w14:schemeClr w14:val="tx1"/>
            </w14:solidFill>
          </w14:textFill>
        </w:rPr>
        <w:t>现场应急指挥部及应急工作组(包括但不仅限于)</w:t>
      </w:r>
      <w:r>
        <w:rPr>
          <w:rFonts w:ascii="宋体" w:hAnsi="宋体" w:eastAsia="宋体" w:cs="宋体"/>
          <w:color w:val="000000" w:themeColor="text1"/>
          <w:spacing w:val="-1"/>
          <w:sz w:val="24"/>
          <w:szCs w:val="24"/>
          <w14:textFill>
            <w14:solidFill>
              <w14:schemeClr w14:val="tx1"/>
            </w14:solidFill>
          </w14:textFill>
        </w:rPr>
        <w:t>构成：总指挥、副总指挥、区环</w:t>
      </w:r>
      <w:r>
        <w:rPr>
          <w:rFonts w:ascii="宋体" w:hAnsi="宋体" w:eastAsia="宋体" w:cs="宋体"/>
          <w:color w:val="000000" w:themeColor="text1"/>
          <w:spacing w:val="-8"/>
          <w:sz w:val="24"/>
          <w:szCs w:val="24"/>
          <w14:textFill>
            <w14:solidFill>
              <w14:schemeClr w14:val="tx1"/>
            </w14:solidFill>
          </w14:textFill>
        </w:rPr>
        <w:t>境应急办</w:t>
      </w:r>
      <w:r>
        <w:rPr>
          <w:rFonts w:ascii="宋体" w:hAnsi="宋体" w:eastAsia="宋体" w:cs="宋体"/>
          <w:color w:val="000000" w:themeColor="text1"/>
          <w:spacing w:val="-7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color w:val="000000" w:themeColor="text1"/>
          <w:spacing w:val="-4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黔西南州生态环境局安龙分局</w:t>
      </w:r>
      <w:r>
        <w:rPr>
          <w:rFonts w:ascii="宋体" w:hAnsi="宋体" w:eastAsia="宋体" w:cs="宋体"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color w:val="000000" w:themeColor="text1"/>
          <w:spacing w:val="-4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县应</w:t>
      </w:r>
      <w:r>
        <w:rPr>
          <w:rFonts w:ascii="宋体" w:hAnsi="宋体" w:eastAsia="宋体" w:cs="宋体"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  <w:t>急管理局、</w:t>
      </w:r>
      <w:r>
        <w:rPr>
          <w:rFonts w:hint="eastAsia" w:ascii="宋体" w:hAnsi="宋体" w:eastAsia="宋体" w:cs="宋体"/>
          <w:color w:val="000000" w:themeColor="text1"/>
          <w:spacing w:val="-4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县</w:t>
      </w:r>
      <w:r>
        <w:rPr>
          <w:rFonts w:ascii="宋体" w:hAnsi="宋体" w:eastAsia="宋体" w:cs="宋体"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  <w:t>水务局、</w:t>
      </w:r>
      <w:r>
        <w:rPr>
          <w:rFonts w:hint="eastAsia" w:ascii="宋体" w:hAnsi="宋体" w:eastAsia="宋体" w:cs="宋体"/>
          <w:color w:val="000000" w:themeColor="text1"/>
          <w:spacing w:val="-4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县</w:t>
      </w:r>
      <w:r>
        <w:rPr>
          <w:rFonts w:ascii="宋体" w:hAnsi="宋体" w:eastAsia="宋体" w:cs="宋体"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  <w:t>公安局、</w:t>
      </w:r>
      <w:r>
        <w:rPr>
          <w:rFonts w:hint="eastAsia" w:ascii="宋体" w:hAnsi="宋体" w:eastAsia="宋体" w:cs="宋体"/>
          <w:color w:val="000000" w:themeColor="text1"/>
          <w:spacing w:val="-4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县</w:t>
      </w:r>
      <w:r>
        <w:rPr>
          <w:rFonts w:ascii="宋体" w:hAnsi="宋体" w:eastAsia="宋体" w:cs="宋体"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  <w:t>消防大队、</w:t>
      </w:r>
      <w:r>
        <w:rPr>
          <w:rFonts w:hint="eastAsia" w:ascii="宋体" w:hAnsi="宋体" w:eastAsia="宋体" w:cs="宋体"/>
          <w:color w:val="000000" w:themeColor="text1"/>
          <w:spacing w:val="-4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县</w:t>
      </w:r>
      <w:r>
        <w:rPr>
          <w:rFonts w:ascii="宋体" w:hAnsi="宋体" w:eastAsia="宋体" w:cs="宋体"/>
          <w:color w:val="000000" w:themeColor="text1"/>
          <w:spacing w:val="-11"/>
          <w:sz w:val="24"/>
          <w:szCs w:val="24"/>
          <w14:textFill>
            <w14:solidFill>
              <w14:schemeClr w14:val="tx1"/>
            </w14:solidFill>
          </w14:textFill>
        </w:rPr>
        <w:t>卫生健康</w:t>
      </w:r>
      <w:r>
        <w:rPr>
          <w:rFonts w:hint="eastAsia" w:ascii="宋体" w:hAnsi="宋体" w:eastAsia="宋体" w:cs="宋体"/>
          <w:color w:val="000000" w:themeColor="text1"/>
          <w:spacing w:val="-1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局</w:t>
      </w:r>
      <w:r>
        <w:rPr>
          <w:rFonts w:ascii="宋体" w:hAnsi="宋体" w:eastAsia="宋体" w:cs="宋体"/>
          <w:color w:val="000000" w:themeColor="text1"/>
          <w:spacing w:val="-11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color w:val="000000" w:themeColor="text1"/>
          <w:spacing w:val="-1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县</w:t>
      </w:r>
      <w:r>
        <w:rPr>
          <w:rFonts w:ascii="宋体" w:hAnsi="宋体" w:eastAsia="宋体" w:cs="宋体"/>
          <w:color w:val="000000" w:themeColor="text1"/>
          <w:spacing w:val="-11"/>
          <w:sz w:val="24"/>
          <w:szCs w:val="24"/>
          <w14:textFill>
            <w14:solidFill>
              <w14:schemeClr w14:val="tx1"/>
            </w14:solidFill>
          </w14:textFill>
        </w:rPr>
        <w:t>发展和改革</w:t>
      </w:r>
      <w:r>
        <w:rPr>
          <w:rFonts w:hint="eastAsia" w:ascii="宋体" w:hAnsi="宋体" w:eastAsia="宋体" w:cs="宋体"/>
          <w:color w:val="000000" w:themeColor="text1"/>
          <w:spacing w:val="-1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局</w:t>
      </w:r>
      <w:r>
        <w:rPr>
          <w:rFonts w:ascii="宋体" w:hAnsi="宋体" w:eastAsia="宋体" w:cs="宋体"/>
          <w:color w:val="000000" w:themeColor="text1"/>
          <w:spacing w:val="-11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color w:val="000000" w:themeColor="text1"/>
          <w:spacing w:val="-1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龙山镇人民政府</w:t>
      </w:r>
      <w:r>
        <w:rPr>
          <w:rFonts w:ascii="宋体" w:hAnsi="宋体" w:eastAsia="宋体" w:cs="宋体"/>
          <w:color w:val="000000" w:themeColor="text1"/>
          <w:spacing w:val="-11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贵州水投水库运营管理安龙有限公司</w:t>
      </w:r>
      <w:r>
        <w:rPr>
          <w:rFonts w:ascii="宋体" w:hAnsi="宋体" w:eastAsia="宋体" w:cs="宋体"/>
          <w:color w:val="000000" w:themeColor="text1"/>
          <w:spacing w:val="-3"/>
          <w:sz w:val="24"/>
          <w:szCs w:val="24"/>
          <w14:textFill>
            <w14:solidFill>
              <w14:schemeClr w14:val="tx1"/>
            </w14:solidFill>
          </w14:textFill>
        </w:rPr>
        <w:t>、应急专家组等。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right="0" w:firstLine="472" w:firstLineChars="200"/>
        <w:textAlignment w:val="auto"/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color w:val="000000" w:themeColor="text1"/>
          <w:spacing w:val="-2"/>
          <w:sz w:val="24"/>
          <w:szCs w:val="24"/>
          <w14:textFill>
            <w14:solidFill>
              <w14:schemeClr w14:val="tx1"/>
            </w14:solidFill>
          </w14:textFill>
        </w:rPr>
        <w:t>二</w:t>
      </w:r>
      <w:r>
        <w:rPr>
          <w:rFonts w:ascii="宋体" w:hAnsi="宋体" w:eastAsia="宋体" w:cs="宋体"/>
          <w:color w:val="000000" w:themeColor="text1"/>
          <w:spacing w:val="-1"/>
          <w:sz w:val="24"/>
          <w:szCs w:val="24"/>
          <w14:textFill>
            <w14:solidFill>
              <w14:schemeClr w14:val="tx1"/>
            </w14:solidFill>
          </w14:textFill>
        </w:rPr>
        <w:t>、流动源突发环境事件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right="0" w:firstLine="472" w:firstLineChars="200"/>
        <w:textAlignment w:val="auto"/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color w:val="000000" w:themeColor="text1"/>
          <w:spacing w:val="-2"/>
          <w:sz w:val="24"/>
          <w:szCs w:val="24"/>
          <w14:textFill>
            <w14:solidFill>
              <w14:schemeClr w14:val="tx1"/>
            </w14:solidFill>
          </w14:textFill>
        </w:rPr>
        <w:t>现场应急指挥部及应急工作组(包括但不仅限于)</w:t>
      </w:r>
      <w:r>
        <w:rPr>
          <w:rFonts w:ascii="宋体" w:hAnsi="宋体" w:eastAsia="宋体" w:cs="宋体"/>
          <w:color w:val="000000" w:themeColor="text1"/>
          <w:spacing w:val="-1"/>
          <w:sz w:val="24"/>
          <w:szCs w:val="24"/>
          <w14:textFill>
            <w14:solidFill>
              <w14:schemeClr w14:val="tx1"/>
            </w14:solidFill>
          </w14:textFill>
        </w:rPr>
        <w:t>构成：总指挥、副总指挥、区环</w:t>
      </w:r>
      <w:r>
        <w:rPr>
          <w:rFonts w:ascii="宋体" w:hAnsi="宋体" w:eastAsia="宋体" w:cs="宋体"/>
          <w:color w:val="000000" w:themeColor="text1"/>
          <w:spacing w:val="-8"/>
          <w:sz w:val="24"/>
          <w:szCs w:val="24"/>
          <w14:textFill>
            <w14:solidFill>
              <w14:schemeClr w14:val="tx1"/>
            </w14:solidFill>
          </w14:textFill>
        </w:rPr>
        <w:t>境应急办</w:t>
      </w:r>
      <w:r>
        <w:rPr>
          <w:rFonts w:ascii="宋体" w:hAnsi="宋体" w:eastAsia="宋体" w:cs="宋体"/>
          <w:color w:val="000000" w:themeColor="text1"/>
          <w:spacing w:val="-7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color w:val="000000" w:themeColor="text1"/>
          <w:spacing w:val="-4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黔西南州生态环境局安龙分局</w:t>
      </w:r>
      <w:r>
        <w:rPr>
          <w:rFonts w:ascii="宋体" w:hAnsi="宋体" w:eastAsia="宋体" w:cs="宋体"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color w:val="000000" w:themeColor="text1"/>
          <w:spacing w:val="-4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县</w:t>
      </w:r>
      <w:r>
        <w:rPr>
          <w:rFonts w:ascii="宋体" w:hAnsi="宋体" w:eastAsia="宋体" w:cs="宋体"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  <w:t>应急管理局、</w:t>
      </w:r>
      <w:r>
        <w:rPr>
          <w:rFonts w:hint="eastAsia" w:ascii="宋体" w:hAnsi="宋体" w:eastAsia="宋体" w:cs="宋体"/>
          <w:color w:val="000000" w:themeColor="text1"/>
          <w:spacing w:val="-4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县</w:t>
      </w:r>
      <w:r>
        <w:rPr>
          <w:rFonts w:ascii="宋体" w:hAnsi="宋体" w:eastAsia="宋体" w:cs="宋体"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  <w:t>水务局、</w:t>
      </w:r>
      <w:r>
        <w:rPr>
          <w:rFonts w:hint="eastAsia" w:ascii="宋体" w:hAnsi="宋体" w:eastAsia="宋体" w:cs="宋体"/>
          <w:color w:val="000000" w:themeColor="text1"/>
          <w:spacing w:val="-4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县</w:t>
      </w:r>
      <w:r>
        <w:rPr>
          <w:rFonts w:ascii="宋体" w:hAnsi="宋体" w:eastAsia="宋体" w:cs="宋体"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  <w:t>消防大队、</w:t>
      </w:r>
      <w:r>
        <w:rPr>
          <w:rFonts w:hint="eastAsia" w:ascii="宋体" w:hAnsi="宋体" w:eastAsia="宋体" w:cs="宋体"/>
          <w:color w:val="000000" w:themeColor="text1"/>
          <w:spacing w:val="-4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县</w:t>
      </w:r>
      <w:r>
        <w:rPr>
          <w:rFonts w:ascii="宋体" w:hAnsi="宋体" w:eastAsia="宋体" w:cs="宋体"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  <w:t>公安局、</w:t>
      </w:r>
      <w:r>
        <w:rPr>
          <w:rFonts w:hint="eastAsia" w:ascii="宋体" w:hAnsi="宋体" w:eastAsia="宋体" w:cs="宋体"/>
          <w:color w:val="000000" w:themeColor="text1"/>
          <w:spacing w:val="-4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县</w:t>
      </w:r>
      <w:r>
        <w:rPr>
          <w:rFonts w:ascii="宋体" w:hAnsi="宋体" w:eastAsia="宋体" w:cs="宋体"/>
          <w:color w:val="000000" w:themeColor="text1"/>
          <w:spacing w:val="-17"/>
          <w:sz w:val="24"/>
          <w:szCs w:val="24"/>
          <w14:textFill>
            <w14:solidFill>
              <w14:schemeClr w14:val="tx1"/>
            </w14:solidFill>
          </w14:textFill>
        </w:rPr>
        <w:t>交</w:t>
      </w:r>
      <w:r>
        <w:rPr>
          <w:rFonts w:ascii="宋体" w:hAnsi="宋体" w:eastAsia="宋体" w:cs="宋体"/>
          <w:color w:val="000000" w:themeColor="text1"/>
          <w:spacing w:val="-10"/>
          <w:sz w:val="24"/>
          <w:szCs w:val="24"/>
          <w14:textFill>
            <w14:solidFill>
              <w14:schemeClr w14:val="tx1"/>
            </w14:solidFill>
          </w14:textFill>
        </w:rPr>
        <w:t>通运输局、</w:t>
      </w:r>
      <w:r>
        <w:rPr>
          <w:rFonts w:hint="eastAsia" w:ascii="宋体" w:hAnsi="宋体" w:eastAsia="宋体" w:cs="宋体"/>
          <w:color w:val="000000" w:themeColor="text1"/>
          <w:spacing w:val="-1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龙山镇人民政府</w:t>
      </w:r>
      <w:r>
        <w:rPr>
          <w:rFonts w:ascii="宋体" w:hAnsi="宋体" w:eastAsia="宋体" w:cs="宋体"/>
          <w:color w:val="000000" w:themeColor="text1"/>
          <w:spacing w:val="-10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color w:val="000000" w:themeColor="text1"/>
          <w:spacing w:val="-1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县</w:t>
      </w:r>
      <w:r>
        <w:rPr>
          <w:rFonts w:ascii="宋体" w:hAnsi="宋体" w:eastAsia="宋体" w:cs="宋体"/>
          <w:color w:val="000000" w:themeColor="text1"/>
          <w:spacing w:val="-10"/>
          <w:sz w:val="24"/>
          <w:szCs w:val="24"/>
          <w14:textFill>
            <w14:solidFill>
              <w14:schemeClr w14:val="tx1"/>
            </w14:solidFill>
          </w14:textFill>
        </w:rPr>
        <w:t>卫生健康</w:t>
      </w:r>
      <w:r>
        <w:rPr>
          <w:rFonts w:hint="eastAsia" w:ascii="宋体" w:hAnsi="宋体" w:eastAsia="宋体" w:cs="宋体"/>
          <w:color w:val="000000" w:themeColor="text1"/>
          <w:spacing w:val="-1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局</w:t>
      </w:r>
      <w:r>
        <w:rPr>
          <w:rFonts w:ascii="宋体" w:hAnsi="宋体" w:eastAsia="宋体" w:cs="宋体"/>
          <w:color w:val="000000" w:themeColor="text1"/>
          <w:spacing w:val="-10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color w:val="000000" w:themeColor="text1"/>
          <w:spacing w:val="-1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县</w:t>
      </w:r>
      <w:r>
        <w:rPr>
          <w:rFonts w:ascii="宋体" w:hAnsi="宋体" w:eastAsia="宋体" w:cs="宋体"/>
          <w:color w:val="000000" w:themeColor="text1"/>
          <w:spacing w:val="-10"/>
          <w:sz w:val="24"/>
          <w:szCs w:val="24"/>
          <w14:textFill>
            <w14:solidFill>
              <w14:schemeClr w14:val="tx1"/>
            </w14:solidFill>
          </w14:textFill>
        </w:rPr>
        <w:t>发展和改革</w:t>
      </w:r>
      <w:r>
        <w:rPr>
          <w:rFonts w:hint="eastAsia" w:ascii="宋体" w:hAnsi="宋体" w:eastAsia="宋体" w:cs="宋体"/>
          <w:color w:val="000000" w:themeColor="text1"/>
          <w:spacing w:val="-1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局</w:t>
      </w:r>
      <w:r>
        <w:rPr>
          <w:rFonts w:ascii="宋体" w:hAnsi="宋体" w:eastAsia="宋体" w:cs="宋体"/>
          <w:color w:val="000000" w:themeColor="text1"/>
          <w:spacing w:val="-8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贵州水投水库运营管理安龙有限公司</w:t>
      </w:r>
      <w:r>
        <w:rPr>
          <w:rFonts w:ascii="宋体" w:hAnsi="宋体" w:eastAsia="宋体" w:cs="宋体"/>
          <w:color w:val="000000" w:themeColor="text1"/>
          <w:spacing w:val="-8"/>
          <w:sz w:val="24"/>
          <w:szCs w:val="24"/>
          <w14:textFill>
            <w14:solidFill>
              <w14:schemeClr w14:val="tx1"/>
            </w14:solidFill>
          </w14:textFill>
        </w:rPr>
        <w:t>、应急专家组等。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right="0" w:firstLine="476" w:firstLineChars="200"/>
        <w:textAlignment w:val="auto"/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color w:val="000000" w:themeColor="text1"/>
          <w:spacing w:val="-1"/>
          <w:sz w:val="24"/>
          <w:szCs w:val="24"/>
          <w14:textFill>
            <w14:solidFill>
              <w14:schemeClr w14:val="tx1"/>
            </w14:solidFill>
          </w14:textFill>
        </w:rPr>
        <w:t>三、非点源突发环境</w:t>
      </w:r>
      <w:r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事件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right="0" w:firstLine="472" w:firstLineChars="200"/>
        <w:textAlignment w:val="auto"/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color w:val="000000" w:themeColor="text1"/>
          <w:spacing w:val="-2"/>
          <w:sz w:val="24"/>
          <w:szCs w:val="24"/>
          <w14:textFill>
            <w14:solidFill>
              <w14:schemeClr w14:val="tx1"/>
            </w14:solidFill>
          </w14:textFill>
        </w:rPr>
        <w:t>现场应急指挥部及应急工作组(包括但不仅限于)</w:t>
      </w:r>
      <w:r>
        <w:rPr>
          <w:rFonts w:ascii="宋体" w:hAnsi="宋体" w:eastAsia="宋体" w:cs="宋体"/>
          <w:color w:val="000000" w:themeColor="text1"/>
          <w:spacing w:val="-1"/>
          <w:sz w:val="24"/>
          <w:szCs w:val="24"/>
          <w14:textFill>
            <w14:solidFill>
              <w14:schemeClr w14:val="tx1"/>
            </w14:solidFill>
          </w14:textFill>
        </w:rPr>
        <w:t>构成：总指挥、副总指挥、</w:t>
      </w:r>
      <w:r>
        <w:rPr>
          <w:rFonts w:hint="eastAsia" w:ascii="宋体" w:hAnsi="宋体" w:eastAsia="宋体" w:cs="宋体"/>
          <w:color w:val="000000" w:themeColor="text1"/>
          <w:spacing w:val="-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县应急管理局</w:t>
      </w:r>
      <w:r>
        <w:rPr>
          <w:rFonts w:ascii="宋体" w:hAnsi="宋体" w:eastAsia="宋体" w:cs="宋体"/>
          <w:color w:val="000000" w:themeColor="text1"/>
          <w:spacing w:val="-7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color w:val="000000" w:themeColor="text1"/>
          <w:spacing w:val="-4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黔西南州生态环境局安龙分局</w:t>
      </w:r>
      <w:r>
        <w:rPr>
          <w:rFonts w:ascii="宋体" w:hAnsi="宋体" w:eastAsia="宋体" w:cs="宋体"/>
          <w:color w:val="000000" w:themeColor="text1"/>
          <w:spacing w:val="-2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color w:val="000000" w:themeColor="text1"/>
          <w:spacing w:val="-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县</w:t>
      </w:r>
      <w:r>
        <w:rPr>
          <w:rFonts w:ascii="宋体" w:hAnsi="宋体" w:eastAsia="宋体" w:cs="宋体"/>
          <w:color w:val="000000" w:themeColor="text1"/>
          <w:spacing w:val="-2"/>
          <w:sz w:val="24"/>
          <w:szCs w:val="24"/>
          <w14:textFill>
            <w14:solidFill>
              <w14:schemeClr w14:val="tx1"/>
            </w14:solidFill>
          </w14:textFill>
        </w:rPr>
        <w:t>水务局、</w:t>
      </w:r>
      <w:r>
        <w:rPr>
          <w:rFonts w:hint="eastAsia" w:ascii="宋体" w:hAnsi="宋体" w:eastAsia="宋体" w:cs="宋体"/>
          <w:color w:val="000000" w:themeColor="text1"/>
          <w:spacing w:val="-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县</w:t>
      </w:r>
      <w:r>
        <w:rPr>
          <w:rFonts w:ascii="宋体" w:hAnsi="宋体" w:eastAsia="宋体" w:cs="宋体"/>
          <w:color w:val="000000" w:themeColor="text1"/>
          <w:spacing w:val="-2"/>
          <w:sz w:val="24"/>
          <w:szCs w:val="24"/>
          <w14:textFill>
            <w14:solidFill>
              <w14:schemeClr w14:val="tx1"/>
            </w14:solidFill>
          </w14:textFill>
        </w:rPr>
        <w:t>农业农村局、</w:t>
      </w:r>
      <w:r>
        <w:rPr>
          <w:rFonts w:hint="eastAsia" w:ascii="宋体" w:hAnsi="宋体" w:eastAsia="宋体" w:cs="宋体"/>
          <w:color w:val="000000" w:themeColor="text1"/>
          <w:spacing w:val="-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县</w:t>
      </w:r>
      <w:r>
        <w:rPr>
          <w:rFonts w:ascii="宋体" w:hAnsi="宋体" w:eastAsia="宋体" w:cs="宋体"/>
          <w:color w:val="000000" w:themeColor="text1"/>
          <w:spacing w:val="-12"/>
          <w:sz w:val="24"/>
          <w:szCs w:val="24"/>
          <w14:textFill>
            <w14:solidFill>
              <w14:schemeClr w14:val="tx1"/>
            </w14:solidFill>
          </w14:textFill>
        </w:rPr>
        <w:t>卫</w:t>
      </w:r>
      <w:r>
        <w:rPr>
          <w:rFonts w:ascii="宋体" w:hAnsi="宋体" w:eastAsia="宋体" w:cs="宋体"/>
          <w:color w:val="000000" w:themeColor="text1"/>
          <w:spacing w:val="-11"/>
          <w:sz w:val="24"/>
          <w:szCs w:val="24"/>
          <w14:textFill>
            <w14:solidFill>
              <w14:schemeClr w14:val="tx1"/>
            </w14:solidFill>
          </w14:textFill>
        </w:rPr>
        <w:t>生健康</w:t>
      </w:r>
      <w:r>
        <w:rPr>
          <w:rFonts w:hint="eastAsia" w:ascii="宋体" w:hAnsi="宋体" w:eastAsia="宋体" w:cs="宋体"/>
          <w:color w:val="000000" w:themeColor="text1"/>
          <w:spacing w:val="-1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局</w:t>
      </w:r>
      <w:r>
        <w:rPr>
          <w:rFonts w:ascii="宋体" w:hAnsi="宋体" w:eastAsia="宋体" w:cs="宋体"/>
          <w:color w:val="000000" w:themeColor="text1"/>
          <w:spacing w:val="-11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color w:val="000000" w:themeColor="text1"/>
          <w:spacing w:val="-1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县</w:t>
      </w:r>
      <w:r>
        <w:rPr>
          <w:rFonts w:ascii="宋体" w:hAnsi="宋体" w:eastAsia="宋体" w:cs="宋体"/>
          <w:color w:val="000000" w:themeColor="text1"/>
          <w:spacing w:val="-11"/>
          <w:sz w:val="24"/>
          <w:szCs w:val="24"/>
          <w14:textFill>
            <w14:solidFill>
              <w14:schemeClr w14:val="tx1"/>
            </w14:solidFill>
          </w14:textFill>
        </w:rPr>
        <w:t>发展和改革</w:t>
      </w:r>
      <w:r>
        <w:rPr>
          <w:rFonts w:hint="eastAsia" w:ascii="宋体" w:hAnsi="宋体" w:eastAsia="宋体" w:cs="宋体"/>
          <w:color w:val="000000" w:themeColor="text1"/>
          <w:spacing w:val="-1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局</w:t>
      </w:r>
      <w:r>
        <w:rPr>
          <w:rFonts w:ascii="宋体" w:hAnsi="宋体" w:eastAsia="宋体" w:cs="宋体"/>
          <w:color w:val="000000" w:themeColor="text1"/>
          <w:spacing w:val="-11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贵州水投水库运营管理安龙有限公司</w:t>
      </w:r>
      <w:r>
        <w:rPr>
          <w:rFonts w:ascii="宋体" w:hAnsi="宋体" w:eastAsia="宋体" w:cs="宋体"/>
          <w:color w:val="000000" w:themeColor="text1"/>
          <w:spacing w:val="-11"/>
          <w:sz w:val="24"/>
          <w:szCs w:val="24"/>
          <w14:textFill>
            <w14:solidFill>
              <w14:schemeClr w14:val="tx1"/>
            </w14:solidFill>
          </w14:textFill>
        </w:rPr>
        <w:t>、应急专家组等。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/>
        <w:textAlignment w:val="auto"/>
        <w:rPr>
          <w:rFonts w:ascii="宋体" w:hAnsi="宋体" w:eastAsia="宋体" w:cs="宋体"/>
          <w:b/>
          <w:bCs/>
          <w:color w:val="000000" w:themeColor="text1"/>
          <w:spacing w:val="-3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b/>
          <w:bCs/>
          <w:color w:val="000000" w:themeColor="text1"/>
          <w:spacing w:val="-6"/>
          <w:sz w:val="24"/>
          <w:szCs w:val="24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宋体" w:hAnsi="宋体" w:eastAsia="宋体" w:cs="宋体"/>
          <w:b/>
          <w:bCs/>
          <w:color w:val="000000" w:themeColor="text1"/>
          <w:spacing w:val="-6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ascii="宋体" w:hAnsi="宋体" w:eastAsia="宋体" w:cs="宋体"/>
          <w:b/>
          <w:bCs/>
          <w:color w:val="000000" w:themeColor="text1"/>
          <w:spacing w:val="-3"/>
          <w:sz w:val="24"/>
          <w:szCs w:val="24"/>
          <w14:textFill>
            <w14:solidFill>
              <w14:schemeClr w14:val="tx1"/>
            </w14:solidFill>
          </w14:textFill>
        </w:rPr>
        <w:t>水源地突发环境事件应急响应流程图</w:t>
      </w:r>
    </w:p>
    <w:p>
      <w:pPr>
        <w:rPr>
          <w:rFonts w:ascii="宋体" w:hAnsi="宋体" w:eastAsia="宋体" w:cs="宋体"/>
          <w:color w:val="000000" w:themeColor="text1"/>
          <w:spacing w:val="-3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25" o:spt="75" type="#_x0000_t75" style="height:570.05pt;width:407.05pt;" o:ole="t" filled="f" o:preferrelative="t" stroked="f" coordsize="21600,21600">
            <v:path/>
            <v:fill on="f" focussize="0,0"/>
            <v:stroke on="f"/>
            <v:imagedata r:id="rId8" o:title=""/>
            <o:lock v:ext="edit" grouping="f" rotation="f" text="f" aspectratio="t"/>
            <w10:wrap type="none"/>
            <w10:anchorlock/>
          </v:shape>
          <o:OLEObject Type="Embed" ProgID="Visio.Drawing.11" ShapeID="_x0000_i1025" DrawAspect="Content" ObjectID="_1468075725" r:id="rId7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textAlignment w:val="auto"/>
        <w:rPr>
          <w:rFonts w:ascii="宋体" w:hAnsi="宋体" w:eastAsia="宋体" w:cs="宋体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b/>
          <w:bCs/>
          <w:color w:val="000000" w:themeColor="text1"/>
          <w:spacing w:val="-6"/>
          <w:sz w:val="24"/>
          <w:szCs w:val="24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宋体" w:hAnsi="宋体" w:eastAsia="宋体" w:cs="宋体"/>
          <w:b/>
          <w:bCs/>
          <w:color w:val="000000" w:themeColor="text1"/>
          <w:spacing w:val="-6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ascii="宋体" w:hAnsi="宋体" w:eastAsia="宋体" w:cs="宋体"/>
          <w:b/>
          <w:bCs/>
          <w:color w:val="000000" w:themeColor="text1"/>
          <w:spacing w:val="-3"/>
          <w:sz w:val="24"/>
          <w:szCs w:val="24"/>
          <w14:textFill>
            <w14:solidFill>
              <w14:schemeClr w14:val="tx1"/>
            </w14:solidFill>
          </w14:textFill>
        </w:rPr>
        <w:t>水源地突发环境事件信息报送内容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firstLine="0"/>
        <w:jc w:val="center"/>
        <w:textAlignment w:val="auto"/>
        <w:rPr>
          <w:rFonts w:hint="eastAsia" w:ascii="Times New Roman" w:hAnsi="Times New Roman" w:eastAsia="宋体" w:cs="Times New Roman"/>
          <w:b/>
          <w:bCs/>
          <w:color w:val="000000" w:themeColor="text1"/>
          <w:spacing w:val="-1"/>
          <w:sz w:val="24"/>
          <w:szCs w:val="24"/>
          <w14:textFill>
            <w14:solidFill>
              <w14:schemeClr w14:val="tx1"/>
            </w14:solidFill>
          </w14:textFill>
        </w:rPr>
      </w:pPr>
      <w:bookmarkStart w:id="3" w:name="_bookmark99"/>
      <w:bookmarkEnd w:id="3"/>
      <w:r>
        <w:rPr>
          <w:rFonts w:hint="eastAsia" w:ascii="Times New Roman" w:hAnsi="Times New Roman" w:eastAsia="宋体" w:cs="Times New Roman"/>
          <w:b/>
          <w:bCs/>
          <w:color w:val="000000" w:themeColor="text1"/>
          <w:spacing w:val="-1"/>
          <w:sz w:val="24"/>
          <w:szCs w:val="24"/>
          <w14:textFill>
            <w14:solidFill>
              <w14:schemeClr w14:val="tx1"/>
            </w14:solidFill>
          </w14:textFill>
        </w:rPr>
        <w:t>水源地突发环境事件信息报送内容</w:t>
      </w:r>
    </w:p>
    <w:tbl>
      <w:tblPr>
        <w:tblStyle w:val="17"/>
        <w:tblW w:w="8603" w:type="dxa"/>
        <w:tblInd w:w="256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58"/>
        <w:gridCol w:w="644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2158" w:type="dxa"/>
            <w:tcBorders>
              <w:lef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eastAsia" w:ascii="Times New Roman" w:hAnsi="Times New Roman" w:eastAsia="宋体" w:cs="Times New Roman"/>
                <w:b/>
                <w:bCs/>
                <w:color w:val="000000" w:themeColor="text1"/>
                <w:spacing w:val="-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0000" w:themeColor="text1"/>
                <w:spacing w:val="-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</w:t>
            </w:r>
          </w:p>
        </w:tc>
        <w:tc>
          <w:tcPr>
            <w:tcW w:w="6445" w:type="dxa"/>
            <w:tcBorders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eastAsia" w:ascii="Times New Roman" w:hAnsi="Times New Roman" w:eastAsia="宋体" w:cs="Times New Roman"/>
                <w:b/>
                <w:bCs/>
                <w:color w:val="000000" w:themeColor="text1"/>
                <w:spacing w:val="-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0000" w:themeColor="text1"/>
                <w:spacing w:val="-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内容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2158" w:type="dxa"/>
            <w:tcBorders>
              <w:lef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pacing w:val="-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现场信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pacing w:val="-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息</w:t>
            </w:r>
          </w:p>
        </w:tc>
        <w:tc>
          <w:tcPr>
            <w:tcW w:w="6445" w:type="dxa"/>
            <w:tcBorders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pacing w:val="-1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报告时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pacing w:val="-7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间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pacing w:val="-5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；现场联系人、报告人及联系方式。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2158" w:type="dxa"/>
            <w:tcBorders>
              <w:lef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pacing w:val="-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事件基本信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息</w:t>
            </w:r>
          </w:p>
        </w:tc>
        <w:tc>
          <w:tcPr>
            <w:tcW w:w="6445" w:type="dxa"/>
            <w:tcBorders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pacing w:val="-4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事件类型、发生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pacing w:val="-3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地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pacing w:val="-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点、发生时间、污染源、泄漏数量、财产损失、人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pacing w:val="-4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员伤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pacing w:val="-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亡、事故原因、事故进展。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3" w:hRule="atLeast"/>
        </w:trPr>
        <w:tc>
          <w:tcPr>
            <w:tcW w:w="2158" w:type="dxa"/>
            <w:tcBorders>
              <w:lef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pacing w:val="-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现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pacing w:val="-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场勘察情况</w:t>
            </w:r>
          </w:p>
        </w:tc>
        <w:tc>
          <w:tcPr>
            <w:tcW w:w="6445" w:type="dxa"/>
            <w:tcBorders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pacing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1.饮用水源地状况：分布情况(离事发地距离)、供水范围(每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pacing w:val="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日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供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pacing w:val="-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水量、影响人口量)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2.周边是否有居民点：离事发地距离；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pacing w:val="-7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3.水文、气象条件：流速、风速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pacing w:val="-6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2158" w:type="dxa"/>
            <w:tcBorders>
              <w:lef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pacing w:val="-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现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pacing w:val="-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场监测情况</w:t>
            </w:r>
          </w:p>
        </w:tc>
        <w:tc>
          <w:tcPr>
            <w:tcW w:w="6445" w:type="dxa"/>
            <w:tcBorders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pacing w:val="6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监测报告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pacing w:val="3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、监测点位图(关键点位离事发地及敏感区域距离)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2158" w:type="dxa"/>
            <w:tcBorders>
              <w:lef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pacing w:val="-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应急处置措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施</w:t>
            </w:r>
          </w:p>
        </w:tc>
        <w:tc>
          <w:tcPr>
            <w:tcW w:w="6445" w:type="dxa"/>
            <w:tcBorders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pacing w:val="-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政府和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生态环境部门采取的措施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78" w:line="360" w:lineRule="auto"/>
        <w:ind w:left="0"/>
        <w:textAlignment w:val="auto"/>
        <w:rPr>
          <w:rFonts w:ascii="宋体" w:hAnsi="宋体" w:eastAsia="宋体" w:cs="宋体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b/>
          <w:bCs/>
          <w:color w:val="000000" w:themeColor="text1"/>
          <w:spacing w:val="-6"/>
          <w:sz w:val="24"/>
          <w:szCs w:val="24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宋体" w:hAnsi="宋体" w:eastAsia="宋体" w:cs="宋体"/>
          <w:b/>
          <w:bCs/>
          <w:color w:val="000000" w:themeColor="text1"/>
          <w:spacing w:val="-6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ascii="宋体" w:hAnsi="宋体" w:eastAsia="宋体" w:cs="宋体"/>
          <w:b/>
          <w:bCs/>
          <w:color w:val="000000" w:themeColor="text1"/>
          <w:spacing w:val="-3"/>
          <w:sz w:val="24"/>
          <w:szCs w:val="24"/>
          <w14:textFill>
            <w14:solidFill>
              <w14:schemeClr w14:val="tx1"/>
            </w14:solidFill>
          </w14:textFill>
        </w:rPr>
        <w:t>适用于处理不同超标项目的推荐技术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firstLine="0"/>
        <w:jc w:val="center"/>
        <w:textAlignment w:val="auto"/>
        <w:rPr>
          <w:rFonts w:hint="eastAsia" w:ascii="Times New Roman" w:hAnsi="Times New Roman" w:eastAsia="宋体" w:cs="Times New Roman"/>
          <w:b/>
          <w:bCs/>
          <w:color w:val="000000" w:themeColor="text1"/>
          <w:spacing w:val="-1"/>
          <w:sz w:val="24"/>
          <w:szCs w:val="24"/>
          <w14:textFill>
            <w14:solidFill>
              <w14:schemeClr w14:val="tx1"/>
            </w14:solidFill>
          </w14:textFill>
        </w:rPr>
      </w:pPr>
      <w:bookmarkStart w:id="4" w:name="_bookmark100"/>
      <w:bookmarkEnd w:id="4"/>
      <w:r>
        <w:rPr>
          <w:rFonts w:hint="eastAsia" w:ascii="Times New Roman" w:hAnsi="Times New Roman" w:eastAsia="宋体" w:cs="Times New Roman"/>
          <w:b/>
          <w:bCs/>
          <w:color w:val="000000" w:themeColor="text1"/>
          <w:spacing w:val="-1"/>
          <w:sz w:val="24"/>
          <w:szCs w:val="24"/>
          <w14:textFill>
            <w14:solidFill>
              <w14:schemeClr w14:val="tx1"/>
            </w14:solidFill>
          </w14:textFill>
        </w:rPr>
        <w:t>适用于处理不同超标项目的推荐技术</w:t>
      </w:r>
    </w:p>
    <w:p>
      <w:pPr>
        <w:spacing w:line="28" w:lineRule="exac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tbl>
      <w:tblPr>
        <w:tblStyle w:val="17"/>
        <w:tblW w:w="8816" w:type="dxa"/>
        <w:tblInd w:w="148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76"/>
        <w:gridCol w:w="674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2076" w:type="dxa"/>
            <w:tcBorders>
              <w:lef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超标项目</w:t>
            </w:r>
          </w:p>
        </w:tc>
        <w:tc>
          <w:tcPr>
            <w:tcW w:w="6740" w:type="dxa"/>
            <w:tcBorders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推荐技术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076" w:type="dxa"/>
            <w:tcBorders>
              <w:lef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浊度</w:t>
            </w:r>
          </w:p>
        </w:tc>
        <w:tc>
          <w:tcPr>
            <w:tcW w:w="6740" w:type="dxa"/>
            <w:tcBorders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快速砂滤池、絮凝、沉淀、过滤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2076" w:type="dxa"/>
            <w:tcBorders>
              <w:lef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色度</w:t>
            </w:r>
          </w:p>
        </w:tc>
        <w:tc>
          <w:tcPr>
            <w:tcW w:w="6740" w:type="dxa"/>
            <w:tcBorders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快速砂滤池、絮凝；活性炭吸附；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化学氧化预处理：臭氧、氯、高锰酸钾、二氧化氯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076" w:type="dxa"/>
            <w:tcBorders>
              <w:lef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嗅味</w:t>
            </w:r>
          </w:p>
        </w:tc>
        <w:tc>
          <w:tcPr>
            <w:tcW w:w="6740" w:type="dxa"/>
            <w:tcBorders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化学氧化预处理：臭氧、氯、高锰酸钾、二氧化氯、活性炭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2076" w:type="dxa"/>
            <w:tcBorders>
              <w:lef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氟化物</w:t>
            </w:r>
          </w:p>
        </w:tc>
        <w:tc>
          <w:tcPr>
            <w:tcW w:w="6740" w:type="dxa"/>
            <w:tcBorders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吸附法：氧化铝、磷酸二钙；混凝沉淀法：硫酸铝、聚合氯化铝；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离子交换法；电渗析法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076" w:type="dxa"/>
            <w:tcBorders>
              <w:lef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氨氮</w:t>
            </w:r>
          </w:p>
        </w:tc>
        <w:tc>
          <w:tcPr>
            <w:tcW w:w="6740" w:type="dxa"/>
            <w:tcBorders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化学氧化预处理：氯、高锰酸钾；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深度处理：臭氧-活性炭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0" w:hRule="atLeast"/>
        </w:trPr>
        <w:tc>
          <w:tcPr>
            <w:tcW w:w="2076" w:type="dxa"/>
            <w:tcBorders>
              <w:lef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铁、锰</w:t>
            </w:r>
          </w:p>
        </w:tc>
        <w:tc>
          <w:tcPr>
            <w:tcW w:w="6740" w:type="dxa"/>
            <w:tcBorders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锰砂；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化学氧化预处理：氯、高锰酸钾；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深度处理：臭氧-活性炭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076" w:type="dxa"/>
            <w:tcBorders>
              <w:lef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挥发性有机物</w:t>
            </w:r>
          </w:p>
        </w:tc>
        <w:tc>
          <w:tcPr>
            <w:tcW w:w="6740" w:type="dxa"/>
            <w:tcBorders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活性炭吸附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2076" w:type="dxa"/>
            <w:tcBorders>
              <w:lef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三氯甲烷和腐殖酸</w:t>
            </w:r>
          </w:p>
        </w:tc>
        <w:tc>
          <w:tcPr>
            <w:tcW w:w="6740" w:type="dxa"/>
            <w:tcBorders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前驱物的去除：强化混凝、粒状活性炭、活性炭；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氯化副产物的去除：粒状活性炭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076" w:type="dxa"/>
            <w:tcBorders>
              <w:lef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有机化合物</w:t>
            </w:r>
          </w:p>
        </w:tc>
        <w:tc>
          <w:tcPr>
            <w:tcW w:w="6740" w:type="dxa"/>
            <w:tcBorders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活性炭、膜处理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2076" w:type="dxa"/>
            <w:tcBorders>
              <w:lef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细菌和病毒</w:t>
            </w:r>
          </w:p>
        </w:tc>
        <w:tc>
          <w:tcPr>
            <w:tcW w:w="6740" w:type="dxa"/>
            <w:tcBorders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过滤(部分去除)；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消毒处理：氯、二氧化氯、臭氧、膜处理、紫外消毒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2076" w:type="dxa"/>
            <w:tcBorders>
              <w:lef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汞、铬等部分重金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属(应急状态)</w:t>
            </w:r>
          </w:p>
        </w:tc>
        <w:tc>
          <w:tcPr>
            <w:tcW w:w="6740" w:type="dxa"/>
            <w:tcBorders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氧化法：高锰酸钾；活性炭吸附(部分去除)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atLeast"/>
        </w:trPr>
        <w:tc>
          <w:tcPr>
            <w:tcW w:w="2076" w:type="dxa"/>
            <w:tcBorders>
              <w:lef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藻类及藻毒素</w:t>
            </w:r>
          </w:p>
        </w:tc>
        <w:tc>
          <w:tcPr>
            <w:tcW w:w="6740" w:type="dxa"/>
            <w:tcBorders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化学氧化预处理：除藻剂法、高锰酸钾、氯；微滤法；气浮法；臭氧氧化法；拦截与打捞法</w:t>
            </w:r>
          </w:p>
        </w:tc>
      </w:tr>
    </w:tbl>
    <w:p>
      <w:p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93" w:line="360" w:lineRule="auto"/>
        <w:ind w:left="57"/>
        <w:textAlignment w:val="auto"/>
        <w:rPr>
          <w:rFonts w:ascii="宋体" w:hAnsi="宋体" w:eastAsia="宋体" w:cs="宋体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b/>
          <w:bCs/>
          <w:color w:val="000000" w:themeColor="text1"/>
          <w:spacing w:val="-5"/>
          <w:sz w:val="24"/>
          <w:szCs w:val="24"/>
          <w14:textFill>
            <w14:solidFill>
              <w14:schemeClr w14:val="tx1"/>
            </w14:solidFill>
          </w14:textFill>
        </w:rPr>
        <w:t>附</w:t>
      </w:r>
      <w:r>
        <w:rPr>
          <w:rFonts w:ascii="宋体" w:hAnsi="宋体" w:eastAsia="宋体" w:cs="宋体"/>
          <w:b/>
          <w:bCs/>
          <w:color w:val="000000" w:themeColor="text1"/>
          <w:spacing w:val="-3"/>
          <w:sz w:val="24"/>
          <w:szCs w:val="24"/>
          <w14:textFill>
            <w14:solidFill>
              <w14:schemeClr w14:val="tx1"/>
            </w14:solidFill>
          </w14:textFill>
        </w:rPr>
        <w:t>件</w:t>
      </w:r>
      <w:r>
        <w:rPr>
          <w:rFonts w:hint="eastAsia" w:ascii="宋体" w:hAnsi="宋体" w:eastAsia="宋体" w:cs="宋体"/>
          <w:b/>
          <w:bCs/>
          <w:color w:val="000000" w:themeColor="text1"/>
          <w:spacing w:val="-3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ascii="宋体" w:hAnsi="宋体" w:eastAsia="宋体" w:cs="宋体"/>
          <w:b/>
          <w:bCs/>
          <w:color w:val="000000" w:themeColor="text1"/>
          <w:spacing w:val="-3"/>
          <w:sz w:val="24"/>
          <w:szCs w:val="24"/>
          <w14:textFill>
            <w14:solidFill>
              <w14:schemeClr w14:val="tx1"/>
            </w14:solidFill>
          </w14:textFill>
        </w:rPr>
        <w:t>常见化学品引发水污染事故的简要处置方法表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firstLine="0"/>
        <w:jc w:val="center"/>
        <w:textAlignment w:val="auto"/>
        <w:rPr>
          <w:rFonts w:hint="eastAsia" w:ascii="Times New Roman" w:hAnsi="Times New Roman" w:eastAsia="宋体" w:cs="Times New Roman"/>
          <w:b/>
          <w:bCs/>
          <w:color w:val="000000" w:themeColor="text1"/>
          <w:spacing w:val="-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pacing w:val="-1"/>
          <w:sz w:val="24"/>
          <w:szCs w:val="24"/>
          <w14:textFill>
            <w14:solidFill>
              <w14:schemeClr w14:val="tx1"/>
            </w14:solidFill>
          </w14:textFill>
        </w:rPr>
        <w:t>常见化学品引发水污染事故的简要处置方法表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8" w:lineRule="exac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tbl>
      <w:tblPr>
        <w:tblStyle w:val="17"/>
        <w:tblW w:w="13338" w:type="dxa"/>
        <w:tblInd w:w="14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72"/>
        <w:gridCol w:w="1241"/>
        <w:gridCol w:w="6478"/>
        <w:gridCol w:w="464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972" w:type="dxa"/>
            <w:tcBorders>
              <w:lef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bookmarkStart w:id="5" w:name="_bookmark104"/>
            <w:bookmarkEnd w:id="5"/>
            <w:r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2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污染物类别</w:t>
            </w:r>
          </w:p>
        </w:tc>
        <w:tc>
          <w:tcPr>
            <w:tcW w:w="64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代表物质</w:t>
            </w:r>
          </w:p>
        </w:tc>
        <w:tc>
          <w:tcPr>
            <w:tcW w:w="4647" w:type="dxa"/>
            <w:tcBorders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应急处置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972" w:type="dxa"/>
            <w:tcBorders>
              <w:lef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2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重金属类</w:t>
            </w:r>
          </w:p>
        </w:tc>
        <w:tc>
          <w:tcPr>
            <w:tcW w:w="64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代表物质有汞及汞盐、铅盐、锡盐类、铬盐等。汞为液体金属，其余均为结晶盐类，铬盐和铅往往有鲜亮的颜色。该类物质多数具有较强毒性，在自然环境中不降解，并能随食物链逐渐富集，形成急性或蓄积类水污染事故。</w:t>
            </w:r>
          </w:p>
        </w:tc>
        <w:tc>
          <w:tcPr>
            <w:tcW w:w="4647" w:type="dxa"/>
            <w:tcBorders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关闭闸门或筑坝围隔污染区，在污染区投加生石灰沉淀重金属离子，排干上清液后将底质移除到安全地方水泥固化后填埋。汞泄漏后应急人员应佩戴防护用具，尽量将泄漏汞收集到安全地方处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理，无法收集的现场用硫磺粉覆盖处理。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6" w:hRule="atLeast"/>
        </w:trPr>
        <w:tc>
          <w:tcPr>
            <w:tcW w:w="972" w:type="dxa"/>
            <w:tcBorders>
              <w:lef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2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氰化物</w:t>
            </w:r>
          </w:p>
        </w:tc>
        <w:tc>
          <w:tcPr>
            <w:tcW w:w="64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代表物质有氰化钾、氰化钠和氰化氢的水溶液。氰化钾、氰化钠为白色结晶粉末，易潮解，易溶于水，用于冶金和电镀行业，常以水溶液罐车运输。氰化氢常温下为液体易挥发，有苦杏仁味。该类物质呈现剧毒，能抑制呼吸酶，对底栖动物、鱼类、两栖动物、哺乳动物等均呈高毒。</w:t>
            </w:r>
          </w:p>
        </w:tc>
        <w:tc>
          <w:tcPr>
            <w:tcW w:w="4647" w:type="dxa"/>
            <w:tcBorders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应急处置人员须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佩戴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全身防护用具，尽可能围隔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污染区，在污染区加过量漂白粉处置，一般24小时可氧化完全。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6" w:hRule="atLeast"/>
        </w:trPr>
        <w:tc>
          <w:tcPr>
            <w:tcW w:w="972" w:type="dxa"/>
            <w:tcBorders>
              <w:lef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2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氟化物</w:t>
            </w:r>
          </w:p>
        </w:tc>
        <w:tc>
          <w:tcPr>
            <w:tcW w:w="64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代表物质有氟化钠、氢氟酸等。氟化钠为白色粉末，无味。氢氟酸为无色有刺激臭味的液体。该类物质易溶于水，高毒，并且容易在酸性环境中挥发氟化氢气体毒害呼吸系统。在自然环境中容易和金属离子形成络合物而降低毒性。</w:t>
            </w:r>
          </w:p>
        </w:tc>
        <w:tc>
          <w:tcPr>
            <w:tcW w:w="4647" w:type="dxa"/>
            <w:tcBorders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关闭闸门或筑坝围隔污染区，应急处置人员须带全身防护用具。在污染水体中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加入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过量生石灰沉淀氟离子，并投加明矾加快沉淀速度。沉淀完全后将上清液排放，铲除底质，并转移到安全地方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处置。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6" w:hRule="atLeast"/>
        </w:trPr>
        <w:tc>
          <w:tcPr>
            <w:tcW w:w="972" w:type="dxa"/>
            <w:tcBorders>
              <w:lef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2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金属酸酐</w:t>
            </w:r>
          </w:p>
        </w:tc>
        <w:tc>
          <w:tcPr>
            <w:tcW w:w="64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代表物质有砒霜和铬酸酐。砒霜为无色无味白色粉末，微溶于水。铬酸矸为紫红色斜方晶体，易潮解。两种物质均在水中有一定的溶解度，呈现高毒性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可毒害呼吸系统、神经系统和循环系统，并能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在动物体内可以富集，造成二次中毒。</w:t>
            </w:r>
          </w:p>
        </w:tc>
        <w:tc>
          <w:tcPr>
            <w:tcW w:w="4647" w:type="dxa"/>
            <w:tcBorders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关闭闸门或筑坝围隔污染区，投放石灰和明矾沉淀，沉淀完全后将上清液转移到安全地方，用草酸钠还原后排放。清除底泥中的沉淀物，用水泥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固化后深埋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6" w:hRule="atLeast"/>
        </w:trPr>
        <w:tc>
          <w:tcPr>
            <w:tcW w:w="972" w:type="dxa"/>
            <w:tcBorders>
              <w:lef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2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苯类化合物</w:t>
            </w:r>
          </w:p>
        </w:tc>
        <w:tc>
          <w:tcPr>
            <w:tcW w:w="64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代表物质有苯、甲苯、乙苯、二甲苯、苯乙烯、硝基苯等。油状液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体，有特殊芳香味，易挥发，除取代苯外，密度一般小于水。该类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物质是神经和循环系统毒剂，对人体有致癌作用，不溶或微溶于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水，扩散速度快</w:t>
            </w:r>
          </w:p>
        </w:tc>
        <w:tc>
          <w:tcPr>
            <w:tcW w:w="4647" w:type="dxa"/>
            <w:tcBorders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应急处置人员应戴全身防护用具，筑坝或用围油栏围隔污染区，注意防火。污染区用吸油绵等高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吸油材料现场吸附转移到安全地方焚烧处理。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污染水体最终用活性炭吸附处理。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6" w:hRule="atLeast"/>
        </w:trPr>
        <w:tc>
          <w:tcPr>
            <w:tcW w:w="972" w:type="dxa"/>
            <w:tcBorders>
              <w:lef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2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卤代烃</w:t>
            </w:r>
          </w:p>
        </w:tc>
        <w:tc>
          <w:tcPr>
            <w:tcW w:w="64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代表物质有抓乙烯、四氯化碳、三氯甲烷、氯苯，均为油状液体，易挥发，不溶于水密度一般大于水，燃烧时有刺激性气体放出。该类物质遇水稳定，对眼睛、皮肤、呼吸道等有刺激作用，对人体有致癌作用。多元取代物密度往往大于水，沉于水底造成持久危害。</w:t>
            </w:r>
          </w:p>
        </w:tc>
        <w:tc>
          <w:tcPr>
            <w:tcW w:w="4647" w:type="dxa"/>
            <w:tcBorders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应急人员应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佩戴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全身防护用具。筑坝围隔污染区，污染水体投加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活性炭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吸附处理。用活性炭、吸油棉等高吸油材料等现场吸附积水中的污染物，彻底清除后送到安全地方处理。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6" w:hRule="atLeast"/>
        </w:trPr>
        <w:tc>
          <w:tcPr>
            <w:tcW w:w="972" w:type="dxa"/>
            <w:tcBorders>
              <w:lef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2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酚类</w:t>
            </w:r>
          </w:p>
        </w:tc>
        <w:tc>
          <w:tcPr>
            <w:tcW w:w="64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代表物质有苯酚、间甲酚、对硝基苯酚、氯苯酚、三氯酚、五氯酚等。多为白色结晶或油状液体，有特殊气味，不溶或微溶于水，密度一般大于水。该类物质一般具有较高的毒性，能刺激皮肤和消化道，在水中降解速度慢，有致癌和致畸作用。</w:t>
            </w:r>
          </w:p>
        </w:tc>
        <w:tc>
          <w:tcPr>
            <w:tcW w:w="4647" w:type="dxa"/>
            <w:tcBorders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应急处置人员应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佩戴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全身防护用具。筑坝或用围油栏围隔污染区后，用吸油棉等高吸油材料现场吸附残留泄漏物，转移到安全地方处理。污染水体投加生石灰、漂白粉沉淀和促进降解最后投加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活性炭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吸附处理。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6" w:hRule="atLeast"/>
        </w:trPr>
        <w:tc>
          <w:tcPr>
            <w:tcW w:w="972" w:type="dxa"/>
            <w:tcBorders>
              <w:lef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2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农药类</w:t>
            </w:r>
          </w:p>
        </w:tc>
        <w:tc>
          <w:tcPr>
            <w:tcW w:w="64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有机氯农药在我国已经禁用。在用的农药包括有机磷农药、氨基甲酸醋农药、拟除虫菊醋类农药等。有机磷农药有甲胺磷、敌敌畏、敌百虫、乐果、氧化乐果、对硫磷、甲基对硫磷、马拉硫磷、苯硫磷、倍硫磷等，多用作杀虫剂。多数品种为油状液体，不溶于水密度大于水，具有类似大蒜样特殊臭味，一般制成乳油使用。多为剧毒农药，通过消化道、呼吸道及皮肤吸收，对人及鱼类高毒。氨基甲酸醋农药有吠喃丹、抗蚜威、速灭威、灭多威、丙硫威等，多用于杀虫剂和抗菌剂。多为结晶粉末状，微溶于水，无气味或气味弱。多为剧毒农药，通过消化道、呼吸道及皮肤吸收。拟除虫菊醋类农药有氟氰菊醋、澳氰菊醋、抓氛菊醋、杀灭菊醋，多用作杀虫剂。一般为微黄色油状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黏稠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液体，不溶于水，溶于常用有机溶剂。是高效低残留杀虫剂，对鱼类高毒，对人类中等毒性，能损害神经、肝、肾等器官。</w:t>
            </w:r>
          </w:p>
        </w:tc>
        <w:tc>
          <w:tcPr>
            <w:tcW w:w="4647" w:type="dxa"/>
            <w:tcBorders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应急人员应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佩戴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全身防护用具。关闭闸门或筑坝围隔污染区，用活性炭吸收未溶的农药，收集到安全场所用碱性溶液无害化处理。对污染区用生石灰或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漂白粉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处置，破坏农药的致毒基团，达到解毒的目的。最后用活性炭进行吸附处理。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6" w:hRule="atLeast"/>
        </w:trPr>
        <w:tc>
          <w:tcPr>
            <w:tcW w:w="972" w:type="dxa"/>
            <w:tcBorders>
              <w:lef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2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矿物油类</w:t>
            </w:r>
          </w:p>
        </w:tc>
        <w:tc>
          <w:tcPr>
            <w:tcW w:w="64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代表物质汽油、煤油、柴油、机油、煤焦油、原油等。一般为油状液体，不溶或微溶于水。煤焦油呈膏状，有特殊臭味，密度大于水。该类物质易燃烧，扩散速度快，易在水面形成污染带，隔绝水气界面，造成水体缺氧。煤焦油沉在水底级慢溶解，对水体造成长久危害，并具有腐蚀性。</w:t>
            </w:r>
          </w:p>
        </w:tc>
        <w:tc>
          <w:tcPr>
            <w:tcW w:w="4647" w:type="dxa"/>
            <w:tcBorders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应急处置时可关闭闸门或用简易坝、围油栏等围隔污染区，用吸油棉等高吸油材料现场吸附，并转移到安全地方焚烧处理。必要时可点燃表层油燃烧处理，污染水体最后用活性炭吸附处理。煤焦油由于其中含有大量的酚类物质，其处置过程可参考酚类物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6" w:hRule="atLeast"/>
        </w:trPr>
        <w:tc>
          <w:tcPr>
            <w:tcW w:w="972" w:type="dxa"/>
            <w:vMerge w:val="restart"/>
            <w:tcBorders>
              <w:lef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1241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腐蚀性物质(包括酸性物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质、碱性物质和强氧化性物质)</w:t>
            </w:r>
          </w:p>
        </w:tc>
        <w:tc>
          <w:tcPr>
            <w:tcW w:w="64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酸性物质有盐酸、硫酸、硝酸、磷酸等。浓盐酸和硝酸有酸性烟雾挥发出来，浓硫酸密度大于水，溶于水时产生大量热量。该类物质表现为强酸性和强腐蚀性，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进入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水体后将引起水体酸度急剧上升，严重腐蚀水工建筑物，破坏水生态系统，但在基质中碳酸钙的作用下其酸性和腐蚀能力会逐渐降低。</w:t>
            </w:r>
          </w:p>
        </w:tc>
        <w:tc>
          <w:tcPr>
            <w:tcW w:w="4647" w:type="dxa"/>
            <w:tcBorders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应急人员戴防护手套，处置挥发性酸时戴防毒面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具，污染区投加碱性物质如生石灰、碳酸钠等中和。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6" w:hRule="atLeast"/>
        </w:trPr>
        <w:tc>
          <w:tcPr>
            <w:tcW w:w="972" w:type="dxa"/>
            <w:vMerge w:val="continue"/>
            <w:tcBorders>
              <w:lef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碱性物质有氢氧化钠、氢氧化钾、电石等。氢氧化钠和氢氧化钾为白色颗粒，易潮解，易溶于水，多以溶液状态罐车运输。</w:t>
            </w:r>
          </w:p>
        </w:tc>
        <w:tc>
          <w:tcPr>
            <w:tcW w:w="4647" w:type="dxa"/>
            <w:tcBorders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应急人员应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戴防护手套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，在污染区投加酸性物质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(如稀盐酸、稀硫酸等)中和处理。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972" w:type="dxa"/>
            <w:vMerge w:val="continue"/>
            <w:tcBorders>
              <w:lef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强氧化性物质有次氯酸钠、硝酸钾、重铬酸钾和高锰酸钾等。高锰酸钾为紫色晶体，重铬酸钾为鲜红色晶体，其余为白色晶体。该类物质一般易溶于水，具有强氧化性，腐蚀水工建筑物中的金属构件，重铬酸钾还能引起环境中铬类污染物的富集。</w:t>
            </w:r>
          </w:p>
        </w:tc>
        <w:tc>
          <w:tcPr>
            <w:tcW w:w="4647" w:type="dxa"/>
            <w:tcBorders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right="0"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应急人员应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戴防护手套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，干态污染物应避免和有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机物、金属粉末、易燃物等接触，以免发生爆炸。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进入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水体后可投加草酸钠还原。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972" w:type="dxa"/>
            <w:tcBorders>
              <w:lef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12366" w:type="dxa"/>
            <w:gridSpan w:val="3"/>
            <w:tcBorders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除上述常见的十类化学品外，各类病毒、细菌造成的水体污染可投加漂白粉、生石灰等消毒处置。</w:t>
            </w:r>
          </w:p>
        </w:tc>
      </w:tr>
    </w:tbl>
    <w:p>
      <w:pPr>
        <w:pStyle w:val="2"/>
        <w:ind w:left="0" w:leftChars="0" w:firstLine="0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sectPr>
          <w:headerReference r:id="rId4" w:type="default"/>
          <w:footerReference r:id="rId5" w:type="default"/>
          <w:pgSz w:w="16838" w:h="11906" w:orient="landscape"/>
          <w:pgMar w:top="1800" w:right="1440" w:bottom="1800" w:left="144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pacing w:val="-3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b/>
          <w:bCs/>
          <w:color w:val="000000" w:themeColor="text1"/>
          <w:spacing w:val="-5"/>
          <w:sz w:val="24"/>
          <w:szCs w:val="24"/>
          <w14:textFill>
            <w14:solidFill>
              <w14:schemeClr w14:val="tx1"/>
            </w14:solidFill>
          </w14:textFill>
        </w:rPr>
        <w:t>附</w:t>
      </w:r>
      <w:r>
        <w:rPr>
          <w:rFonts w:ascii="宋体" w:hAnsi="宋体" w:eastAsia="宋体" w:cs="宋体"/>
          <w:b/>
          <w:bCs/>
          <w:color w:val="000000" w:themeColor="text1"/>
          <w:spacing w:val="-3"/>
          <w:sz w:val="24"/>
          <w:szCs w:val="24"/>
          <w14:textFill>
            <w14:solidFill>
              <w14:schemeClr w14:val="tx1"/>
            </w14:solidFill>
          </w14:textFill>
        </w:rPr>
        <w:t>件</w:t>
      </w:r>
      <w:r>
        <w:rPr>
          <w:rFonts w:hint="eastAsia" w:ascii="宋体" w:hAnsi="宋体" w:eastAsia="宋体" w:cs="宋体"/>
          <w:b/>
          <w:bCs/>
          <w:color w:val="000000" w:themeColor="text1"/>
          <w:spacing w:val="-3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8龙洞水库工程建设项目环评批复</w:t>
      </w:r>
    </w:p>
    <w:p>
      <w:pPr>
        <w:jc w:val="center"/>
        <w:rPr>
          <w:rFonts w:hint="eastAsia" w:eastAsia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1770" cy="7519670"/>
            <wp:effectExtent l="0" t="0" r="5080" b="5080"/>
            <wp:docPr id="11" name="图片 11" descr="龙洞水库环评批复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龙洞水库环评批复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364480" cy="7888605"/>
            <wp:effectExtent l="0" t="0" r="7620" b="17145"/>
            <wp:docPr id="13" name="图片 13" descr="龙洞水库环评批复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龙洞水库环评批复2 "/>
                    <pic:cNvPicPr>
                      <a:picLocks noChangeAspect="1"/>
                    </pic:cNvPicPr>
                  </pic:nvPicPr>
                  <pic:blipFill>
                    <a:blip r:embed="rId10"/>
                    <a:srcRect r="2999"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788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353050" cy="8165465"/>
            <wp:effectExtent l="0" t="0" r="0" b="6985"/>
            <wp:docPr id="14" name="图片 14" descr="龙洞水库环评批复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龙洞水库环评批复3"/>
                    <pic:cNvPicPr>
                      <a:picLocks noChangeAspect="1"/>
                    </pic:cNvPicPr>
                  </pic:nvPicPr>
                  <pic:blipFill>
                    <a:blip r:embed="rId11"/>
                    <a:srcRect l="6492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05730" cy="8398510"/>
            <wp:effectExtent l="0" t="0" r="13970" b="2540"/>
            <wp:docPr id="15" name="图片 15" descr="龙洞水库环评批复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龙洞水库环评批复4"/>
                    <pic:cNvPicPr>
                      <a:picLocks noChangeAspect="1"/>
                    </pic:cNvPicPr>
                  </pic:nvPicPr>
                  <pic:blipFill>
                    <a:blip r:embed="rId12"/>
                    <a:srcRect l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335905" cy="7972425"/>
            <wp:effectExtent l="0" t="0" r="17145" b="9525"/>
            <wp:docPr id="16" name="图片 16" descr="龙洞水库环评批复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龙洞水库环评批复5"/>
                    <pic:cNvPicPr>
                      <a:picLocks noChangeAspect="1"/>
                    </pic:cNvPicPr>
                  </pic:nvPicPr>
                  <pic:blipFill>
                    <a:blip r:embed="rId13"/>
                    <a:srcRect l="4529"/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8" w:lineRule="auto"/>
      <w:ind w:left="6609"/>
      <w:rPr>
        <w:rFonts w:ascii="Calibri" w:hAnsi="Calibri" w:eastAsia="Calibri" w:cs="Calibri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0"/>
      </w:pBdr>
      <w:spacing w:line="220" w:lineRule="auto"/>
      <w:ind w:left="4704"/>
      <w:rPr>
        <w:rFonts w:ascii="宋体" w:hAnsi="宋体" w:eastAsia="宋体" w:cs="宋体"/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3D0FB01"/>
    <w:multiLevelType w:val="singleLevel"/>
    <w:tmpl w:val="F3D0FB01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czZTI3ODljYzA1MmUxZmJjMTQ2NTEwMDgxMzZmNDIifQ=="/>
  </w:docVars>
  <w:rsids>
    <w:rsidRoot w:val="00B63336"/>
    <w:rsid w:val="00740DB2"/>
    <w:rsid w:val="00782EF8"/>
    <w:rsid w:val="00B33E3E"/>
    <w:rsid w:val="00B63336"/>
    <w:rsid w:val="00F64F29"/>
    <w:rsid w:val="023C7EDE"/>
    <w:rsid w:val="02A57D3C"/>
    <w:rsid w:val="03A94EB6"/>
    <w:rsid w:val="082173BC"/>
    <w:rsid w:val="0D1E22E6"/>
    <w:rsid w:val="0D6D1C25"/>
    <w:rsid w:val="100B407B"/>
    <w:rsid w:val="100C6356"/>
    <w:rsid w:val="113D4AF2"/>
    <w:rsid w:val="129C53DB"/>
    <w:rsid w:val="135234BC"/>
    <w:rsid w:val="15045AA0"/>
    <w:rsid w:val="15962639"/>
    <w:rsid w:val="16896CCD"/>
    <w:rsid w:val="1A282BD2"/>
    <w:rsid w:val="1DD3796B"/>
    <w:rsid w:val="1F69613C"/>
    <w:rsid w:val="1F6D069B"/>
    <w:rsid w:val="20A6377D"/>
    <w:rsid w:val="23644D8F"/>
    <w:rsid w:val="26537844"/>
    <w:rsid w:val="2B344821"/>
    <w:rsid w:val="2BAF5C12"/>
    <w:rsid w:val="2FE64780"/>
    <w:rsid w:val="341B443A"/>
    <w:rsid w:val="369C1C97"/>
    <w:rsid w:val="36BC7A7B"/>
    <w:rsid w:val="36F5510A"/>
    <w:rsid w:val="371B5492"/>
    <w:rsid w:val="3A0C3DD9"/>
    <w:rsid w:val="3A992DAB"/>
    <w:rsid w:val="3BA80617"/>
    <w:rsid w:val="3C1001A0"/>
    <w:rsid w:val="3CDB4F7F"/>
    <w:rsid w:val="402152C5"/>
    <w:rsid w:val="40263E5A"/>
    <w:rsid w:val="41842025"/>
    <w:rsid w:val="42A712F5"/>
    <w:rsid w:val="42E04889"/>
    <w:rsid w:val="42F73EBF"/>
    <w:rsid w:val="47F97C66"/>
    <w:rsid w:val="48CC15AE"/>
    <w:rsid w:val="49B47129"/>
    <w:rsid w:val="4B5844A9"/>
    <w:rsid w:val="4BCA0BC5"/>
    <w:rsid w:val="4C6A3287"/>
    <w:rsid w:val="4DB90328"/>
    <w:rsid w:val="4ED96B17"/>
    <w:rsid w:val="50A71C77"/>
    <w:rsid w:val="52151C14"/>
    <w:rsid w:val="54771E1D"/>
    <w:rsid w:val="54B4694B"/>
    <w:rsid w:val="55E132D6"/>
    <w:rsid w:val="56F171F0"/>
    <w:rsid w:val="5D823517"/>
    <w:rsid w:val="5E165B09"/>
    <w:rsid w:val="5FC23066"/>
    <w:rsid w:val="643F6122"/>
    <w:rsid w:val="653F727C"/>
    <w:rsid w:val="65902629"/>
    <w:rsid w:val="659148DF"/>
    <w:rsid w:val="66EA5E41"/>
    <w:rsid w:val="6A753F97"/>
    <w:rsid w:val="6BCE4EB6"/>
    <w:rsid w:val="6E152E2D"/>
    <w:rsid w:val="7254447A"/>
    <w:rsid w:val="734F6A72"/>
    <w:rsid w:val="745352D3"/>
    <w:rsid w:val="754C402F"/>
    <w:rsid w:val="75797151"/>
    <w:rsid w:val="76C405FA"/>
    <w:rsid w:val="7761688B"/>
    <w:rsid w:val="77B972AE"/>
    <w:rsid w:val="78C13324"/>
    <w:rsid w:val="7A330A6D"/>
    <w:rsid w:val="7C211CC4"/>
    <w:rsid w:val="7C430E2E"/>
    <w:rsid w:val="7CD15E19"/>
    <w:rsid w:val="7E063B58"/>
    <w:rsid w:val="7E5A389D"/>
    <w:rsid w:val="7E60511E"/>
    <w:rsid w:val="7E853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qFormat="1" w:unhideWhenUsed="0" w:uiPriority="0" w:semiHidden="0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nhideWhenUsed="0" w:uiPriority="99" w:semiHidden="0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autoRedefine/>
    <w:qFormat/>
    <w:uiPriority w:val="9"/>
    <w:pPr>
      <w:keepNext/>
      <w:keepLines/>
      <w:spacing w:beforeLines="50" w:afterLines="50"/>
      <w:ind w:firstLine="0" w:firstLineChars="0"/>
      <w:outlineLvl w:val="0"/>
    </w:pPr>
    <w:rPr>
      <w:b/>
      <w:kern w:val="44"/>
      <w:sz w:val="30"/>
    </w:rPr>
  </w:style>
  <w:style w:type="paragraph" w:styleId="4">
    <w:name w:val="heading 2"/>
    <w:basedOn w:val="1"/>
    <w:next w:val="1"/>
    <w:autoRedefine/>
    <w:qFormat/>
    <w:uiPriority w:val="0"/>
    <w:pPr>
      <w:widowControl/>
      <w:spacing w:before="0" w:beforeAutospacing="0" w:after="50" w:afterLines="50" w:afterAutospacing="0" w:line="360" w:lineRule="auto"/>
      <w:ind w:left="0" w:right="0" w:firstLine="0" w:firstLineChars="0"/>
      <w:jc w:val="left"/>
      <w:outlineLvl w:val="1"/>
    </w:pPr>
    <w:rPr>
      <w:rFonts w:hint="eastAsia" w:cs="宋体"/>
      <w:b/>
      <w:snapToGrid/>
      <w:kern w:val="0"/>
      <w:sz w:val="28"/>
      <w:szCs w:val="28"/>
    </w:rPr>
  </w:style>
  <w:style w:type="paragraph" w:styleId="5">
    <w:name w:val="heading 3"/>
    <w:basedOn w:val="1"/>
    <w:next w:val="1"/>
    <w:autoRedefine/>
    <w:unhideWhenUsed/>
    <w:qFormat/>
    <w:uiPriority w:val="0"/>
    <w:pPr>
      <w:keepNext/>
      <w:keepLines/>
      <w:spacing w:line="480" w:lineRule="exact"/>
      <w:jc w:val="left"/>
      <w:outlineLvl w:val="2"/>
    </w:pPr>
    <w:rPr>
      <w:b/>
      <w:bCs/>
      <w:sz w:val="28"/>
      <w:szCs w:val="32"/>
    </w:rPr>
  </w:style>
  <w:style w:type="character" w:default="1" w:styleId="12">
    <w:name w:val="Default Paragraph Font"/>
    <w:autoRedefine/>
    <w:semiHidden/>
    <w:unhideWhenUsed/>
    <w:qFormat/>
    <w:uiPriority w:val="1"/>
  </w:style>
  <w:style w:type="table" w:default="1" w:styleId="11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able of authorities"/>
    <w:basedOn w:val="1"/>
    <w:next w:val="1"/>
    <w:autoRedefine/>
    <w:qFormat/>
    <w:uiPriority w:val="0"/>
    <w:pPr>
      <w:ind w:left="420" w:leftChars="200"/>
    </w:pPr>
    <w:rPr>
      <w:rFonts w:ascii="Times New Roman" w:hAnsi="Times New Roman"/>
      <w:szCs w:val="24"/>
    </w:rPr>
  </w:style>
  <w:style w:type="paragraph" w:styleId="6">
    <w:name w:val="annotation text"/>
    <w:basedOn w:val="1"/>
    <w:autoRedefine/>
    <w:semiHidden/>
    <w:unhideWhenUsed/>
    <w:qFormat/>
    <w:uiPriority w:val="99"/>
    <w:pPr>
      <w:jc w:val="left"/>
    </w:pPr>
  </w:style>
  <w:style w:type="paragraph" w:styleId="7">
    <w:name w:val="Body Text Indent"/>
    <w:basedOn w:val="1"/>
    <w:autoRedefine/>
    <w:qFormat/>
    <w:uiPriority w:val="0"/>
    <w:pPr>
      <w:ind w:firstLine="480" w:firstLineChars="200"/>
    </w:pPr>
  </w:style>
  <w:style w:type="paragraph" w:styleId="8">
    <w:name w:val="footer"/>
    <w:basedOn w:val="1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autoRedefine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Body Text First Indent 2"/>
    <w:basedOn w:val="7"/>
    <w:next w:val="1"/>
    <w:autoRedefine/>
    <w:qFormat/>
    <w:uiPriority w:val="0"/>
    <w:pPr>
      <w:widowControl w:val="0"/>
      <w:spacing w:after="120"/>
      <w:ind w:left="420" w:leftChars="200" w:firstLine="420" w:firstLineChars="200"/>
      <w:jc w:val="both"/>
    </w:pPr>
    <w:rPr>
      <w:kern w:val="2"/>
      <w:szCs w:val="24"/>
    </w:rPr>
  </w:style>
  <w:style w:type="paragraph" w:styleId="13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14">
    <w:name w:val="List Paragraph1"/>
    <w:basedOn w:val="1"/>
    <w:autoRedefine/>
    <w:qFormat/>
    <w:uiPriority w:val="0"/>
    <w:pPr>
      <w:ind w:firstLine="420"/>
    </w:pPr>
  </w:style>
  <w:style w:type="paragraph" w:customStyle="1" w:styleId="15">
    <w:name w:val="Table Paragraph"/>
    <w:basedOn w:val="1"/>
    <w:autoRedefine/>
    <w:qFormat/>
    <w:uiPriority w:val="99"/>
  </w:style>
  <w:style w:type="paragraph" w:customStyle="1" w:styleId="16">
    <w:name w:val="1正文"/>
    <w:autoRedefine/>
    <w:qFormat/>
    <w:uiPriority w:val="99"/>
    <w:pPr>
      <w:snapToGrid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table" w:customStyle="1" w:styleId="17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emf"/><Relationship Id="rId7" Type="http://schemas.openxmlformats.org/officeDocument/2006/relationships/oleObject" Target="embeddings/oleObject1.bin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6517</Words>
  <Characters>6935</Characters>
  <Lines>1</Lines>
  <Paragraphs>1</Paragraphs>
  <TotalTime>858</TotalTime>
  <ScaleCrop>false</ScaleCrop>
  <LinksUpToDate>false</LinksUpToDate>
  <CharactersWithSpaces>6937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2018-11-20T02:07:00Z</dcterms:created>
  <dc:creator>Administrator</dc:creator>
  <cp:lastModifiedBy>alone</cp:lastModifiedBy>
  <dcterms:modified xsi:type="dcterms:W3CDTF">2024-06-12T00:50:17Z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22E6E101547C46FEA4D1933C7B4AA132</vt:lpwstr>
  </property>
</Properties>
</file>